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6087AFC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CB2FAB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B7612" w:rsidRPr="007B7612">
        <w:t xml:space="preserve"> </w:t>
      </w:r>
      <w:r w:rsidR="007B7612" w:rsidRPr="007B7612">
        <w:rPr>
          <w:bCs/>
          <w:noProof w:val="0"/>
          <w:sz w:val="24"/>
          <w:szCs w:val="24"/>
        </w:rPr>
        <w:t>2400862</w:t>
      </w:r>
    </w:p>
    <w:p w14:paraId="11776FA6" w14:textId="6B20BA12" w:rsidR="00A209D6" w:rsidRPr="00465587" w:rsidRDefault="005C4FD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26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CB2FAB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0585C9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750AD">
        <w:rPr>
          <w:rFonts w:cs="Arial"/>
          <w:b/>
          <w:bCs/>
          <w:sz w:val="24"/>
        </w:rPr>
        <w:t>5.1.3.2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D62B9F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D7741" w:rsidRPr="007D7741">
        <w:rPr>
          <w:rFonts w:ascii="Arial" w:hAnsi="Arial" w:cs="Arial"/>
          <w:b/>
          <w:bCs/>
          <w:sz w:val="24"/>
        </w:rPr>
        <w:t>On the applicability of asyncIntraBandENDC to intra-band NE-DC</w:t>
      </w:r>
    </w:p>
    <w:p w14:paraId="25F387E8" w14:textId="21BCC0C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WI_CODE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D7741">
        <w:rPr>
          <w:rFonts w:ascii="Arial" w:hAnsi="Arial" w:cs="Arial"/>
          <w:b/>
          <w:bCs/>
          <w:sz w:val="24"/>
        </w:rPr>
        <w:t>16</w:t>
      </w:r>
    </w:p>
    <w:p w14:paraId="6FEB19D6" w14:textId="15AF5BD2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E2494E" w:rsidRPr="00E2494E">
        <w:rPr>
          <w:rFonts w:ascii="Arial" w:hAnsi="Arial" w:cs="Arial"/>
          <w:b/>
          <w:bCs/>
          <w:sz w:val="24"/>
        </w:rPr>
        <w:t>NR_newRAT-Core, TEI16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F43094" w14:textId="332826B7" w:rsidR="0045638F" w:rsidRDefault="00331951" w:rsidP="009339CB">
      <w:r w:rsidRPr="00331951">
        <w:t xml:space="preserve">In the LS </w:t>
      </w:r>
      <w:hyperlink r:id="rId12" w:history="1">
        <w:r w:rsidR="00D46545" w:rsidRPr="00D46545">
          <w:rPr>
            <w:rStyle w:val="Hyperlink"/>
          </w:rPr>
          <w:t>R2-2311748</w:t>
        </w:r>
      </w:hyperlink>
      <w:r w:rsidR="00D46545">
        <w:t xml:space="preserve"> (</w:t>
      </w:r>
      <w:r w:rsidRPr="00E51DB2">
        <w:t>R4-2317402</w:t>
      </w:r>
      <w:r w:rsidR="00D46545">
        <w:t>)</w:t>
      </w:r>
      <w:r w:rsidRPr="00331951">
        <w:t>, RAN4 requested</w:t>
      </w:r>
      <w:r w:rsidR="0019094C">
        <w:t xml:space="preserve"> RAN2</w:t>
      </w:r>
      <w:r w:rsidRPr="00331951">
        <w:t xml:space="preserve"> </w:t>
      </w:r>
      <w:r w:rsidR="0019094C">
        <w:t>to update the definition of the</w:t>
      </w:r>
      <w:r w:rsidRPr="00331951">
        <w:t xml:space="preserve"> </w:t>
      </w:r>
      <w:r w:rsidRPr="0019094C">
        <w:rPr>
          <w:i/>
          <w:iCs/>
        </w:rPr>
        <w:t>asyncIntraBandENDC</w:t>
      </w:r>
      <w:r w:rsidRPr="0019094C">
        <w:t xml:space="preserve"> </w:t>
      </w:r>
      <w:r w:rsidR="0019094C">
        <w:t xml:space="preserve">capability </w:t>
      </w:r>
      <w:r w:rsidRPr="00331951">
        <w:t xml:space="preserve">to </w:t>
      </w:r>
      <w:r w:rsidR="006B1D30">
        <w:t xml:space="preserve">clarify that the capability </w:t>
      </w:r>
      <w:r w:rsidR="00A71175">
        <w:t xml:space="preserve">is also used to indicate that a UE supports asynchronous </w:t>
      </w:r>
      <w:r w:rsidRPr="00331951">
        <w:t>FDD-FDD inter-band NE-DC with overlapping DL frequency</w:t>
      </w:r>
      <w:r w:rsidR="00784232">
        <w:t xml:space="preserve"> with the corresponding M</w:t>
      </w:r>
      <w:r w:rsidR="00992239">
        <w:t>T</w:t>
      </w:r>
      <w:r w:rsidR="00784232">
        <w:t>TD</w:t>
      </w:r>
      <w:r w:rsidR="002F2D6A">
        <w:t>/M</w:t>
      </w:r>
      <w:r w:rsidR="00992239">
        <w:t>R</w:t>
      </w:r>
      <w:r w:rsidR="002F2D6A">
        <w:t>TD</w:t>
      </w:r>
      <w:r w:rsidR="00784232">
        <w:t xml:space="preserve"> requirements defined in </w:t>
      </w:r>
      <w:r w:rsidR="002F2D6A">
        <w:t>clauses 7.5/7.6 of TS 38.133.</w:t>
      </w:r>
      <w:r w:rsidR="002D0A75">
        <w:t xml:space="preserve"> </w:t>
      </w:r>
      <w:r w:rsidR="007B52D1">
        <w:t xml:space="preserve">Also, in that same LS, </w:t>
      </w:r>
      <w:r w:rsidR="00107887">
        <w:t xml:space="preserve">RAN4 asked </w:t>
      </w:r>
      <w:r w:rsidR="001E50DA">
        <w:t xml:space="preserve">RAN2 to update the definition of </w:t>
      </w:r>
      <w:r w:rsidR="00B66124">
        <w:t xml:space="preserve">the </w:t>
      </w:r>
      <w:r w:rsidR="00B66124">
        <w:rPr>
          <w:i/>
          <w:iCs/>
        </w:rPr>
        <w:t>asyncIntraBandENDC</w:t>
      </w:r>
      <w:r w:rsidR="00B66124">
        <w:t xml:space="preserve"> to cover NE-DC</w:t>
      </w:r>
      <w:r w:rsidR="0045638F">
        <w:t>.</w:t>
      </w:r>
      <w:r w:rsidR="009267BB">
        <w:t xml:space="preserve"> </w:t>
      </w:r>
    </w:p>
    <w:p w14:paraId="4FD2F525" w14:textId="2A928160" w:rsidR="00F7761F" w:rsidRDefault="0045638F" w:rsidP="009339CB">
      <w:r w:rsidRPr="00222381">
        <w:t>H</w:t>
      </w:r>
      <w:r w:rsidR="009267BB" w:rsidRPr="00222381">
        <w:t>owever, it was not clear</w:t>
      </w:r>
      <w:r w:rsidR="0002536C" w:rsidRPr="00222381">
        <w:t xml:space="preserve"> if </w:t>
      </w:r>
      <w:r w:rsidR="00CC3120" w:rsidRPr="00222381">
        <w:t>RAN4 intended for the capability to be applicable to NE-DC in all cases or just in the case of FDD-FDD inter-band NE-DC</w:t>
      </w:r>
      <w:r w:rsidRPr="00222381">
        <w:t>,</w:t>
      </w:r>
      <w:r w:rsidR="0064595E" w:rsidRPr="00222381">
        <w:t xml:space="preserve"> as evidenced by </w:t>
      </w:r>
      <w:r w:rsidR="001328C3" w:rsidRPr="00222381">
        <w:t xml:space="preserve">the different </w:t>
      </w:r>
      <w:r w:rsidR="0064595E" w:rsidRPr="00222381">
        <w:t xml:space="preserve">CRs </w:t>
      </w:r>
      <w:r w:rsidR="001328C3" w:rsidRPr="00222381">
        <w:t>submitted to RAN2#124</w:t>
      </w:r>
      <w:r w:rsidR="00834512" w:rsidRPr="00222381">
        <w:t xml:space="preserve">, </w:t>
      </w:r>
      <w:r w:rsidR="0064595E" w:rsidRPr="00222381">
        <w:t xml:space="preserve">e.g. </w:t>
      </w:r>
      <w:hyperlink r:id="rId13" w:history="1">
        <w:r w:rsidR="00222381" w:rsidRPr="00222381">
          <w:rPr>
            <w:rStyle w:val="Hyperlink"/>
          </w:rPr>
          <w:t>R2-2313262</w:t>
        </w:r>
      </w:hyperlink>
      <w:r w:rsidR="00222381" w:rsidRPr="00222381">
        <w:t xml:space="preserve"> </w:t>
      </w:r>
      <w:r w:rsidR="00834512" w:rsidRPr="00222381">
        <w:t>(</w:t>
      </w:r>
      <w:r w:rsidR="00522B05" w:rsidRPr="00222381">
        <w:t>made the capability applicable to FDD-FDD inter-band NE-DC with over</w:t>
      </w:r>
      <w:r w:rsidR="00C31EA0">
        <w:t>l</w:t>
      </w:r>
      <w:r w:rsidR="00522B05" w:rsidRPr="00222381">
        <w:t>apping DL only</w:t>
      </w:r>
      <w:r w:rsidR="00834512" w:rsidRPr="00222381">
        <w:t>)</w:t>
      </w:r>
      <w:r w:rsidR="00D06ABD" w:rsidRPr="00222381">
        <w:t xml:space="preserve"> versus </w:t>
      </w:r>
      <w:hyperlink r:id="rId14" w:history="1">
        <w:r w:rsidR="00962C39" w:rsidRPr="00222381">
          <w:rPr>
            <w:rStyle w:val="Hyperlink"/>
          </w:rPr>
          <w:t>R2-2312350</w:t>
        </w:r>
      </w:hyperlink>
      <w:r w:rsidR="00962C39" w:rsidRPr="00222381">
        <w:t xml:space="preserve"> </w:t>
      </w:r>
      <w:r w:rsidR="00D06ABD" w:rsidRPr="00222381">
        <w:t>(</w:t>
      </w:r>
      <w:r w:rsidR="00522B05" w:rsidRPr="00222381">
        <w:t>made the capability applicable to FDD-FDD inter-band NE-DC with over</w:t>
      </w:r>
      <w:r w:rsidR="00962C39" w:rsidRPr="00222381">
        <w:t>l</w:t>
      </w:r>
      <w:r w:rsidR="00522B05" w:rsidRPr="00222381">
        <w:t xml:space="preserve">apping DL </w:t>
      </w:r>
      <w:r w:rsidR="00660748" w:rsidRPr="00222381">
        <w:t xml:space="preserve">as well as applicable to the three </w:t>
      </w:r>
      <w:r w:rsidR="00660748" w:rsidRPr="00222381">
        <w:rPr>
          <w:i/>
          <w:iCs/>
        </w:rPr>
        <w:t>intra-band cases</w:t>
      </w:r>
      <w:r w:rsidR="00D06ABD" w:rsidRPr="00222381">
        <w:t>).</w:t>
      </w:r>
    </w:p>
    <w:p w14:paraId="4854EE57" w14:textId="0040B28E" w:rsidR="009339CB" w:rsidRDefault="00D06ABD" w:rsidP="00BE2B0C">
      <w:r>
        <w:t>Th</w:t>
      </w:r>
      <w:r w:rsidR="00660748">
        <w:t xml:space="preserve">is contribution </w:t>
      </w:r>
      <w:r w:rsidR="00160CA7">
        <w:t>analyze</w:t>
      </w:r>
      <w:r w:rsidR="00817E89">
        <w:t>s</w:t>
      </w:r>
      <w:r w:rsidR="00160CA7">
        <w:t xml:space="preserve"> the applicability of</w:t>
      </w:r>
      <w:r w:rsidR="00076A27">
        <w:t xml:space="preserve"> </w:t>
      </w:r>
      <w:r w:rsidR="00076A27" w:rsidRPr="0019094C">
        <w:rPr>
          <w:i/>
          <w:iCs/>
        </w:rPr>
        <w:t>asyncIntraBandENDC</w:t>
      </w:r>
      <w:r w:rsidR="00076A27">
        <w:t xml:space="preserve"> </w:t>
      </w:r>
      <w:r w:rsidR="00160CA7">
        <w:t xml:space="preserve">to intra-band NE-DC and </w:t>
      </w:r>
      <w:r w:rsidR="00817E89">
        <w:t xml:space="preserve">proposes to </w:t>
      </w:r>
      <w:r w:rsidR="00BE2B0C">
        <w:t xml:space="preserve">send an LS to RAN4 </w:t>
      </w:r>
      <w:r w:rsidR="00817E89">
        <w:t>to clarify certain details before updating the capability to support NE-DC</w:t>
      </w:r>
      <w:r w:rsidR="008D24A7">
        <w:t>.</w:t>
      </w:r>
    </w:p>
    <w:p w14:paraId="7D484B6E" w14:textId="016CF2A6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568A3">
        <w:t>Discussion</w:t>
      </w:r>
    </w:p>
    <w:p w14:paraId="5982B445" w14:textId="5D4A9E36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EE475F" w:rsidRPr="00EE475F">
        <w:t xml:space="preserve">LS on update for </w:t>
      </w:r>
      <w:r w:rsidR="00C94632">
        <w:t>“</w:t>
      </w:r>
      <w:r w:rsidR="00EE475F" w:rsidRPr="00EE475F">
        <w:t>asyncIntraBandENDC</w:t>
      </w:r>
      <w:r w:rsidR="00C94632">
        <w:t>”</w:t>
      </w:r>
    </w:p>
    <w:p w14:paraId="1C85A8B7" w14:textId="3808E8E1" w:rsidR="00EE475F" w:rsidRDefault="00EE475F" w:rsidP="009339CB">
      <w:r>
        <w:t>The text of the LS</w:t>
      </w:r>
      <w:r w:rsidR="001E1054">
        <w:t xml:space="preserve"> </w:t>
      </w:r>
      <w:hyperlink r:id="rId15" w:history="1">
        <w:r w:rsidR="001E1054" w:rsidRPr="00D46545">
          <w:rPr>
            <w:rStyle w:val="Hyperlink"/>
          </w:rPr>
          <w:t>R2-2311748</w:t>
        </w:r>
      </w:hyperlink>
      <w:r w:rsidR="001E1054">
        <w:t xml:space="preserve"> (</w:t>
      </w:r>
      <w:r w:rsidR="001E1054" w:rsidRPr="00E51DB2">
        <w:t>R4-2317402</w:t>
      </w:r>
      <w:r w:rsidR="001E1054">
        <w:t>)</w:t>
      </w:r>
      <w:r>
        <w:t xml:space="preserve"> is shown below:</w:t>
      </w:r>
    </w:p>
    <w:p w14:paraId="1CB35A7B" w14:textId="77777777" w:rsidR="00346C36" w:rsidRDefault="00346C36" w:rsidP="009339CB">
      <w:pPr>
        <w:pBdr>
          <w:bottom w:val="single" w:sz="6" w:space="1" w:color="auto"/>
        </w:pBdr>
      </w:pPr>
    </w:p>
    <w:p w14:paraId="6440569D" w14:textId="77777777" w:rsidR="00346C36" w:rsidRDefault="00346C36" w:rsidP="00346C36">
      <w:pPr>
        <w:pStyle w:val="TAL"/>
        <w:rPr>
          <w:rFonts w:ascii="Times New Roman" w:eastAsia="Malgun Gothic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eastAsia="zh-CN"/>
        </w:rPr>
        <w:t xml:space="preserve">During the discussion on MRTD requirement applicability in RAN4#108bis meeting, it is identified that the current description for </w:t>
      </w:r>
      <w:r>
        <w:rPr>
          <w:rFonts w:ascii="Times New Roman" w:eastAsia="Malgun Gothic" w:hAnsi="Times New Roman"/>
          <w:i/>
          <w:iCs/>
          <w:sz w:val="20"/>
          <w:lang w:eastAsia="zh-CN"/>
        </w:rPr>
        <w:t>asyncIntraBandENDC</w:t>
      </w:r>
      <w:r>
        <w:rPr>
          <w:rFonts w:ascii="Times New Roman" w:eastAsia="Malgun Gothic" w:hAnsi="Times New Roman"/>
          <w:sz w:val="20"/>
          <w:lang w:eastAsia="zh-CN"/>
        </w:rPr>
        <w:t xml:space="preserve"> may need to be updated to well accommodate inter-band EN-DC with overlapping frequency in non-collocated scenario.</w:t>
      </w:r>
    </w:p>
    <w:p w14:paraId="1347B26F" w14:textId="77777777" w:rsidR="00346C36" w:rsidRDefault="00346C36" w:rsidP="00346C36">
      <w:pPr>
        <w:pStyle w:val="TAL"/>
        <w:rPr>
          <w:rFonts w:ascii="Times New Roman" w:eastAsia="Malgun Gothic" w:hAnsi="Times New Roman"/>
          <w:sz w:val="20"/>
          <w:lang w:eastAsia="zh-CN"/>
        </w:rPr>
      </w:pPr>
    </w:p>
    <w:p w14:paraId="4095074B" w14:textId="77777777" w:rsidR="00346C36" w:rsidRDefault="00346C36" w:rsidP="00346C36">
      <w:pPr>
        <w:pStyle w:val="TAL"/>
        <w:rPr>
          <w:rFonts w:ascii="Times New Roman" w:eastAsia="Malgun Gothic" w:hAnsi="Times New Roman"/>
          <w:sz w:val="20"/>
          <w:lang w:eastAsia="zh-CN"/>
        </w:rPr>
      </w:pPr>
      <w:r>
        <w:rPr>
          <w:rFonts w:ascii="Times New Roman" w:eastAsia="Malgun Gothic" w:hAnsi="Times New Roman"/>
          <w:sz w:val="20"/>
          <w:lang w:eastAsia="zh-CN"/>
        </w:rPr>
        <w:t>The signaling</w:t>
      </w:r>
      <w:r>
        <w:rPr>
          <w:rFonts w:ascii="Times New Roman" w:eastAsia="Malgun Gothic" w:hAnsi="Times New Roman"/>
          <w:i/>
          <w:iCs/>
          <w:sz w:val="20"/>
          <w:lang w:eastAsia="zh-CN"/>
        </w:rPr>
        <w:t xml:space="preserve"> “asyncIntraBandENDC” </w:t>
      </w:r>
      <w:r>
        <w:rPr>
          <w:rFonts w:ascii="Times New Roman" w:eastAsia="Malgun Gothic" w:hAnsi="Times New Roman"/>
          <w:sz w:val="20"/>
          <w:lang w:eastAsia="zh-CN"/>
        </w:rPr>
        <w:t xml:space="preserve">was introduced for intra-band EN-DC, while it is further extended to cover inter-band EN-DC with overlapping frequency. While the signaling description only mentioned intra-band EN-DC in the first paragraph in the description part. For inter-band EN-DC with overlapping frequency, if asynchronous FDD-FDD intra-band (NG) EN-DC is not supported, the MRTD requirement for collocated scenario and non-collocated scenario are different. </w:t>
      </w:r>
    </w:p>
    <w:p w14:paraId="3045A037" w14:textId="77777777" w:rsidR="00346C36" w:rsidRDefault="00346C36" w:rsidP="00346C36">
      <w:pPr>
        <w:pStyle w:val="TAL"/>
        <w:numPr>
          <w:ilvl w:val="0"/>
          <w:numId w:val="8"/>
        </w:numPr>
        <w:spacing w:line="256" w:lineRule="auto"/>
        <w:rPr>
          <w:rFonts w:ascii="Times New Roman" w:eastAsia="Malgun Gothic" w:hAnsi="Times New Roman"/>
          <w:sz w:val="20"/>
          <w:lang w:eastAsia="zh-CN"/>
        </w:rPr>
      </w:pPr>
      <w:r>
        <w:rPr>
          <w:rFonts w:ascii="Times New Roman" w:eastAsia="Malgun Gothic" w:hAnsi="Times New Roman"/>
          <w:sz w:val="20"/>
          <w:lang w:eastAsia="zh-CN"/>
        </w:rPr>
        <w:t>For collocated scenario, the synchronous requirement for intra-band collocated scenario in 7.6.3 apply.</w:t>
      </w:r>
    </w:p>
    <w:p w14:paraId="7A201AE5" w14:textId="77777777" w:rsidR="00346C36" w:rsidRDefault="00346C36" w:rsidP="00346C36">
      <w:pPr>
        <w:pStyle w:val="TAL"/>
        <w:numPr>
          <w:ilvl w:val="0"/>
          <w:numId w:val="8"/>
        </w:numPr>
        <w:spacing w:line="256" w:lineRule="auto"/>
        <w:rPr>
          <w:rFonts w:ascii="Times New Roman" w:eastAsia="Malgun Gothic" w:hAnsi="Times New Roman"/>
          <w:sz w:val="20"/>
          <w:lang w:eastAsia="zh-CN"/>
        </w:rPr>
      </w:pPr>
      <w:r>
        <w:rPr>
          <w:rFonts w:ascii="Times New Roman" w:eastAsia="Malgun Gothic" w:hAnsi="Times New Roman"/>
          <w:sz w:val="20"/>
          <w:lang w:eastAsia="zh-CN"/>
        </w:rPr>
        <w:t>For non-collocated scenario, the synchronous requirement for inter-band EN-DC in 7.6.2.1 apply.</w:t>
      </w:r>
    </w:p>
    <w:p w14:paraId="3CB4B6E2" w14:textId="77777777" w:rsidR="00346C36" w:rsidRDefault="00346C36" w:rsidP="00346C36">
      <w:pPr>
        <w:pStyle w:val="TAL"/>
        <w:rPr>
          <w:rFonts w:ascii="Times New Roman" w:eastAsia="Malgun Gothic" w:hAnsi="Times New Roman"/>
          <w:sz w:val="20"/>
          <w:lang w:eastAsia="zh-CN"/>
        </w:rPr>
      </w:pPr>
    </w:p>
    <w:p w14:paraId="7BD8C0F5" w14:textId="77777777" w:rsidR="00346C36" w:rsidRDefault="00346C36" w:rsidP="00346C36">
      <w:pPr>
        <w:pStyle w:val="TAL"/>
        <w:rPr>
          <w:rFonts w:ascii="Times New Roman" w:eastAsia="Malgun Gothic" w:hAnsi="Times New Roman"/>
          <w:sz w:val="20"/>
          <w:lang w:eastAsia="zh-CN"/>
        </w:rPr>
      </w:pPr>
      <w:r>
        <w:rPr>
          <w:rFonts w:ascii="Times New Roman" w:eastAsia="Malgun Gothic" w:hAnsi="Times New Roman"/>
          <w:sz w:val="20"/>
          <w:lang w:eastAsia="zh-CN"/>
        </w:rPr>
        <w:t>Further, the signaling</w:t>
      </w:r>
      <w:r>
        <w:rPr>
          <w:rFonts w:ascii="Times New Roman" w:eastAsia="Malgun Gothic" w:hAnsi="Times New Roman"/>
          <w:i/>
          <w:iCs/>
          <w:sz w:val="20"/>
          <w:lang w:eastAsia="zh-CN"/>
        </w:rPr>
        <w:t xml:space="preserve"> “asyncIntraBandENDC” </w:t>
      </w:r>
      <w:r>
        <w:rPr>
          <w:rFonts w:ascii="Times New Roman" w:eastAsia="Malgun Gothic" w:hAnsi="Times New Roman"/>
          <w:sz w:val="20"/>
          <w:lang w:eastAsia="zh-CN"/>
        </w:rPr>
        <w:t>now only cover EN-DC UE reporting. RAN4 would like to ask RAN2 to update this signaling description to cover NE-DC reporting.</w:t>
      </w:r>
    </w:p>
    <w:p w14:paraId="4F63AC4F" w14:textId="77777777" w:rsidR="001E1054" w:rsidRDefault="001E1054" w:rsidP="009339CB">
      <w:pPr>
        <w:pBdr>
          <w:bottom w:val="single" w:sz="6" w:space="1" w:color="auto"/>
        </w:pBdr>
      </w:pPr>
    </w:p>
    <w:p w14:paraId="5BA2C560" w14:textId="5CC5D93F" w:rsidR="001E1054" w:rsidRDefault="001E1054" w:rsidP="009339CB"/>
    <w:p w14:paraId="7605D229" w14:textId="12D42BB0" w:rsidR="00C94632" w:rsidRDefault="00C94632" w:rsidP="00C94632">
      <w:pPr>
        <w:pStyle w:val="Heading2"/>
      </w:pPr>
      <w:r>
        <w:lastRenderedPageBreak/>
        <w:t>2.1</w:t>
      </w:r>
      <w:r>
        <w:tab/>
        <w:t xml:space="preserve">Applicability of </w:t>
      </w:r>
      <w:r>
        <w:t>“</w:t>
      </w:r>
      <w:r w:rsidRPr="00EE475F">
        <w:t>asyncIntraBandENDC</w:t>
      </w:r>
      <w:r>
        <w:t>”</w:t>
      </w:r>
      <w:r>
        <w:t xml:space="preserve"> to NE-DC</w:t>
      </w:r>
    </w:p>
    <w:p w14:paraId="276DEC29" w14:textId="5606F651" w:rsidR="002D711B" w:rsidRDefault="002D711B" w:rsidP="009339CB">
      <w:r>
        <w:t xml:space="preserve">Presently, </w:t>
      </w:r>
      <w:r w:rsidR="000B700A" w:rsidRPr="00077604">
        <w:rPr>
          <w:i/>
          <w:iCs/>
        </w:rPr>
        <w:t>asyncIntraBandENDC</w:t>
      </w:r>
      <w:r w:rsidR="008F3158">
        <w:t xml:space="preserve"> is applicable to four different</w:t>
      </w:r>
      <w:r w:rsidR="00265E5A">
        <w:t xml:space="preserve"> EN-DC</w:t>
      </w:r>
      <w:r w:rsidR="008F3158">
        <w:t xml:space="preserve"> cases</w:t>
      </w:r>
      <w:r w:rsidR="006A4E98">
        <w:t>, per TS 38.306</w:t>
      </w:r>
      <w:r w:rsidR="008F3158">
        <w:t>:</w:t>
      </w:r>
    </w:p>
    <w:p w14:paraId="0C3437F2" w14:textId="77777777" w:rsidR="006A4E98" w:rsidRPr="00626E8D" w:rsidRDefault="006A4E98" w:rsidP="006A4E98">
      <w:pPr>
        <w:pStyle w:val="B1"/>
        <w:spacing w:after="0"/>
        <w:rPr>
          <w:rFonts w:ascii="Arial" w:hAnsi="Arial" w:cs="Arial"/>
          <w:sz w:val="18"/>
          <w:szCs w:val="18"/>
        </w:rPr>
      </w:pPr>
      <w:r w:rsidRPr="00626E8D">
        <w:rPr>
          <w:rFonts w:ascii="Arial" w:hAnsi="Arial" w:cs="Arial"/>
          <w:sz w:val="18"/>
          <w:szCs w:val="18"/>
          <w:lang w:eastAsia="zh-CN"/>
        </w:rPr>
        <w:t>-</w:t>
      </w:r>
      <w:r w:rsidRPr="00626E8D">
        <w:rPr>
          <w:rFonts w:ascii="Arial" w:hAnsi="Arial" w:cs="Arial"/>
          <w:sz w:val="18"/>
          <w:szCs w:val="18"/>
        </w:rPr>
        <w:tab/>
        <w:t>Intra-band (NG)EN-DC combination without additional inter-band NR and LTE CA component;</w:t>
      </w:r>
    </w:p>
    <w:p w14:paraId="4A52F670" w14:textId="77777777" w:rsidR="006A4E98" w:rsidRPr="00626E8D" w:rsidRDefault="006A4E98" w:rsidP="006A4E98">
      <w:pPr>
        <w:pStyle w:val="B1"/>
        <w:spacing w:after="0"/>
        <w:rPr>
          <w:rFonts w:ascii="Arial" w:hAnsi="Arial" w:cs="Arial"/>
          <w:sz w:val="18"/>
          <w:szCs w:val="18"/>
        </w:rPr>
      </w:pPr>
      <w:r w:rsidRPr="00626E8D">
        <w:rPr>
          <w:rFonts w:ascii="Arial" w:hAnsi="Arial" w:cs="Arial"/>
          <w:sz w:val="18"/>
          <w:szCs w:val="18"/>
          <w:lang w:eastAsia="zh-CN"/>
        </w:rPr>
        <w:t>-</w:t>
      </w:r>
      <w:r w:rsidRPr="00626E8D">
        <w:rPr>
          <w:rFonts w:ascii="Arial" w:hAnsi="Arial" w:cs="Arial"/>
          <w:sz w:val="18"/>
          <w:szCs w:val="18"/>
        </w:rPr>
        <w:tab/>
        <w:t xml:space="preserve">Intra-band (NG)EN-DC combination </w:t>
      </w:r>
      <w:r w:rsidRPr="00626E8D">
        <w:rPr>
          <w:rFonts w:ascii="Arial" w:hAnsi="Arial" w:cs="Arial"/>
          <w:sz w:val="18"/>
          <w:szCs w:val="18"/>
          <w:lang w:eastAsia="en-GB"/>
        </w:rPr>
        <w:t>supporting both UL and DL intra-band (NG)EN-DC parts</w:t>
      </w:r>
      <w:r w:rsidRPr="00626E8D">
        <w:rPr>
          <w:rFonts w:ascii="Arial" w:hAnsi="Arial" w:cs="Arial"/>
          <w:sz w:val="18"/>
          <w:szCs w:val="18"/>
        </w:rPr>
        <w:t xml:space="preserve"> with additional inter-band NR/LTE CA component;</w:t>
      </w:r>
    </w:p>
    <w:p w14:paraId="6BC4F104" w14:textId="77777777" w:rsidR="006A4E98" w:rsidRPr="00626E8D" w:rsidRDefault="006A4E98" w:rsidP="006A4E98">
      <w:pPr>
        <w:pStyle w:val="B1"/>
        <w:spacing w:after="0"/>
        <w:rPr>
          <w:rFonts w:ascii="Arial" w:hAnsi="Arial" w:cs="Arial"/>
          <w:sz w:val="18"/>
          <w:szCs w:val="18"/>
        </w:rPr>
      </w:pPr>
      <w:r w:rsidRPr="00626E8D">
        <w:rPr>
          <w:rFonts w:ascii="Arial" w:hAnsi="Arial" w:cs="Arial"/>
          <w:sz w:val="18"/>
          <w:szCs w:val="18"/>
          <w:lang w:eastAsia="zh-CN"/>
        </w:rPr>
        <w:t>-</w:t>
      </w:r>
      <w:r w:rsidRPr="00626E8D">
        <w:rPr>
          <w:rFonts w:ascii="Arial" w:hAnsi="Arial" w:cs="Arial"/>
          <w:sz w:val="18"/>
          <w:szCs w:val="18"/>
        </w:rPr>
        <w:tab/>
        <w:t>Intra-band (NG)EN-DC combination without supporting UL in both the bands of the intra-band (NG)EN-DC UL part;</w:t>
      </w:r>
    </w:p>
    <w:p w14:paraId="7D5F077B" w14:textId="24B5280B" w:rsidR="006A4E98" w:rsidRPr="00626E8D" w:rsidRDefault="006A4E98" w:rsidP="006A4E98">
      <w:pPr>
        <w:pStyle w:val="B1"/>
        <w:spacing w:after="0"/>
        <w:rPr>
          <w:rFonts w:ascii="Arial" w:hAnsi="Arial" w:cs="Arial"/>
          <w:sz w:val="18"/>
          <w:szCs w:val="18"/>
        </w:rPr>
      </w:pPr>
      <w:r w:rsidRPr="00626E8D">
        <w:rPr>
          <w:rFonts w:ascii="Arial" w:hAnsi="Arial" w:cs="Arial"/>
          <w:sz w:val="18"/>
          <w:szCs w:val="18"/>
          <w:lang w:eastAsia="zh-CN"/>
        </w:rPr>
        <w:t>-</w:t>
      </w:r>
      <w:r w:rsidRPr="00626E8D">
        <w:rPr>
          <w:rFonts w:ascii="Arial" w:hAnsi="Arial" w:cs="Arial"/>
          <w:sz w:val="18"/>
          <w:szCs w:val="18"/>
        </w:rPr>
        <w:tab/>
      </w:r>
      <w:r w:rsidRPr="00626E8D">
        <w:rPr>
          <w:rFonts w:ascii="Arial" w:hAnsi="Arial" w:cs="Arial"/>
          <w:bCs/>
          <w:iCs/>
          <w:sz w:val="18"/>
          <w:szCs w:val="18"/>
        </w:rPr>
        <w:t>Inter-band (NG)EN-DC combination, where the frequency range of the E-UTRA band is a subset of the frequency range of the NR band (as specified in Table 5.5B.4.1-1 of TS 38.101-3 [4]).</w:t>
      </w:r>
    </w:p>
    <w:p w14:paraId="15BABB57" w14:textId="6FDCF5FD" w:rsidR="00C94632" w:rsidRDefault="006A4E98" w:rsidP="006A4E98">
      <w:pPr>
        <w:spacing w:before="120"/>
      </w:pPr>
      <w:r>
        <w:t xml:space="preserve">In the LS, RAN4 asked RAN2 to update the signalling description for </w:t>
      </w:r>
      <w:r w:rsidRPr="00077604">
        <w:rPr>
          <w:i/>
          <w:iCs/>
        </w:rPr>
        <w:t>asyncIntraBandENDC</w:t>
      </w:r>
      <w:r>
        <w:t xml:space="preserve"> “to cover NE-DC reporting”</w:t>
      </w:r>
      <w:r>
        <w:t xml:space="preserve">, but it is not clear if </w:t>
      </w:r>
      <w:r w:rsidR="00077604">
        <w:t>RAN4’s intention</w:t>
      </w:r>
      <w:r>
        <w:t xml:space="preserve"> </w:t>
      </w:r>
      <w:r w:rsidR="00C41100">
        <w:t xml:space="preserve">was </w:t>
      </w:r>
      <w:r w:rsidR="00051012">
        <w:t xml:space="preserve">to </w:t>
      </w:r>
      <w:r w:rsidR="00693DBD">
        <w:t>extend</w:t>
      </w:r>
      <w:r w:rsidR="00051012">
        <w:t xml:space="preserve"> this capability to NE-DC in each of the above four cases.</w:t>
      </w:r>
      <w:r w:rsidR="00F973FD">
        <w:t xml:space="preserve"> Specifically, it is not clear </w:t>
      </w:r>
      <w:r w:rsidR="00125032">
        <w:t>if RAN4 intend</w:t>
      </w:r>
      <w:r w:rsidR="006048C1">
        <w:t>s</w:t>
      </w:r>
      <w:r w:rsidR="00125032">
        <w:t xml:space="preserve"> </w:t>
      </w:r>
      <w:r w:rsidR="006048C1">
        <w:t xml:space="preserve">for </w:t>
      </w:r>
      <w:r w:rsidR="00125032">
        <w:t xml:space="preserve">the capability to be applied to </w:t>
      </w:r>
      <w:r w:rsidR="003744DA">
        <w:t xml:space="preserve">the three </w:t>
      </w:r>
      <w:r w:rsidR="00125032">
        <w:t xml:space="preserve">intra-band </w:t>
      </w:r>
      <w:r w:rsidR="003744DA">
        <w:t>cases.</w:t>
      </w:r>
    </w:p>
    <w:p w14:paraId="0D86CD71" w14:textId="1D896C8E" w:rsidR="00C00E56" w:rsidRPr="00CD51A6" w:rsidRDefault="00C00E56" w:rsidP="006A4E98">
      <w:pPr>
        <w:spacing w:before="120"/>
        <w:rPr>
          <w:b/>
          <w:bCs/>
        </w:rPr>
      </w:pPr>
      <w:r w:rsidRPr="00CD51A6">
        <w:rPr>
          <w:b/>
          <w:bCs/>
        </w:rPr>
        <w:t>Observation 1</w:t>
      </w:r>
      <w:r w:rsidRPr="006D1DCA">
        <w:t xml:space="preserve">: </w:t>
      </w:r>
      <w:r w:rsidRPr="006D1DCA">
        <w:rPr>
          <w:i/>
          <w:iCs/>
        </w:rPr>
        <w:t>asyncIntraBandENDC</w:t>
      </w:r>
      <w:r w:rsidRPr="006D1DCA">
        <w:t xml:space="preserve"> is applicable to three intra-band EN-DC cases and one inter-band EN-DC case</w:t>
      </w:r>
      <w:r w:rsidR="0036544A" w:rsidRPr="006D1DCA">
        <w:t>, but it is</w:t>
      </w:r>
      <w:r w:rsidRPr="006D1DCA">
        <w:t xml:space="preserve"> not clear if RAN4 intends </w:t>
      </w:r>
      <w:r w:rsidR="00CD51A6" w:rsidRPr="006D1DCA">
        <w:t>for the capability to be extended to</w:t>
      </w:r>
      <w:r w:rsidR="0036544A" w:rsidRPr="006D1DCA">
        <w:t xml:space="preserve"> NE-DC for</w:t>
      </w:r>
      <w:r w:rsidR="00CD51A6" w:rsidRPr="006D1DCA">
        <w:t xml:space="preserve"> all four cases.</w:t>
      </w:r>
    </w:p>
    <w:p w14:paraId="5A605DC7" w14:textId="5D8F4FDB" w:rsidR="004343C9" w:rsidRDefault="00693DBD" w:rsidP="006A4E98">
      <w:pPr>
        <w:spacing w:before="120"/>
      </w:pPr>
      <w:r>
        <w:t>I</w:t>
      </w:r>
      <w:r w:rsidR="00F96738">
        <w:t xml:space="preserve">t is noted that </w:t>
      </w:r>
      <w:r w:rsidR="002C3FA8">
        <w:t xml:space="preserve">RAN4 </w:t>
      </w:r>
      <w:r w:rsidR="00485F7F">
        <w:t>asked RAN2</w:t>
      </w:r>
      <w:r w:rsidR="002C3FA8">
        <w:t xml:space="preserve"> </w:t>
      </w:r>
      <w:r w:rsidR="00485F7F">
        <w:t>to</w:t>
      </w:r>
      <w:r w:rsidR="002C3FA8">
        <w:t xml:space="preserve"> updat</w:t>
      </w:r>
      <w:r w:rsidR="00F96738">
        <w:t>e to the capability starting in Rel-16 (at least we assume that is the intention since the WI code in the LS was “TEI16”)</w:t>
      </w:r>
      <w:r w:rsidR="00485F7F">
        <w:t>. However, in Rel-16 (as well as Rel-17</w:t>
      </w:r>
      <w:r w:rsidR="00904DA2">
        <w:t xml:space="preserve">) there </w:t>
      </w:r>
      <w:r w:rsidR="00485F7F">
        <w:t>have not been any</w:t>
      </w:r>
      <w:r w:rsidR="00904DA2">
        <w:t xml:space="preserve"> intra-band NE-DC combinations defined</w:t>
      </w:r>
      <w:r w:rsidR="00485F7F">
        <w:t>.</w:t>
      </w:r>
    </w:p>
    <w:p w14:paraId="18D665AD" w14:textId="73A1424B" w:rsidR="00485F7F" w:rsidRPr="006D1DCA" w:rsidRDefault="00485F7F" w:rsidP="006A4E98">
      <w:pPr>
        <w:spacing w:before="120"/>
      </w:pPr>
      <w:r w:rsidRPr="006D1DCA">
        <w:rPr>
          <w:b/>
          <w:bCs/>
        </w:rPr>
        <w:t xml:space="preserve">Observation </w:t>
      </w:r>
      <w:r w:rsidR="00CD51A6" w:rsidRPr="006D1DCA">
        <w:rPr>
          <w:b/>
          <w:bCs/>
        </w:rPr>
        <w:t>2</w:t>
      </w:r>
      <w:r w:rsidR="00CD51A6" w:rsidRPr="006D1DCA">
        <w:t>:</w:t>
      </w:r>
      <w:r w:rsidRPr="006D1DCA">
        <w:t xml:space="preserve"> RAN4 </w:t>
      </w:r>
      <w:r w:rsidR="003025A1" w:rsidRPr="006D1DCA">
        <w:t xml:space="preserve">discussed the update to </w:t>
      </w:r>
      <w:bookmarkStart w:id="0" w:name="_Hlk159169246"/>
      <w:r w:rsidR="003025A1" w:rsidRPr="006D1DCA">
        <w:rPr>
          <w:i/>
          <w:iCs/>
        </w:rPr>
        <w:t>asyncIntraBandENDC</w:t>
      </w:r>
      <w:bookmarkEnd w:id="0"/>
      <w:r w:rsidR="003025A1" w:rsidRPr="006D1DCA">
        <w:t xml:space="preserve"> under TEI16, but no </w:t>
      </w:r>
      <w:r w:rsidR="002506C0" w:rsidRPr="006D1DCA">
        <w:t>intra-band NE-DC combinations are defined in Rel-16 or Rel-17.</w:t>
      </w:r>
    </w:p>
    <w:p w14:paraId="6CA39E0F" w14:textId="2013F7DB" w:rsidR="002506C0" w:rsidRDefault="00971F39" w:rsidP="006A4E98">
      <w:pPr>
        <w:spacing w:before="120"/>
      </w:pPr>
      <w:r>
        <w:t>Now, a</w:t>
      </w:r>
      <w:r w:rsidR="002506C0">
        <w:t xml:space="preserve">s of Rel-18, there has been one intra-band </w:t>
      </w:r>
      <w:r w:rsidR="000C497B">
        <w:t>NE-DC combination defined</w:t>
      </w:r>
      <w:r w:rsidR="00C0367A">
        <w:t>, DC_3(n)AA (</w:t>
      </w:r>
      <w:r w:rsidR="00951152">
        <w:t>clause 5.5B.2a</w:t>
      </w:r>
      <w:r w:rsidR="000C44F5">
        <w:t xml:space="preserve"> of TS 38.101-3</w:t>
      </w:r>
      <w:r w:rsidR="00C0367A">
        <w:t>)</w:t>
      </w:r>
      <w:r w:rsidR="00E426DD">
        <w:t>.</w:t>
      </w:r>
    </w:p>
    <w:p w14:paraId="2B3D9836" w14:textId="4B5947B0" w:rsidR="00F75665" w:rsidRDefault="00F75665" w:rsidP="00F75665">
      <w:pPr>
        <w:pStyle w:val="TH"/>
      </w:pPr>
      <w:r>
        <w:t>Table 5.5B.2</w:t>
      </w:r>
      <w:r>
        <w:rPr>
          <w:lang w:eastAsia="zh-TW"/>
        </w:rPr>
        <w:t>a</w:t>
      </w:r>
      <w:r>
        <w:t>-1: Intra-band contiguous N</w:t>
      </w:r>
      <w:r>
        <w:rPr>
          <w:lang w:eastAsia="zh-TW"/>
        </w:rPr>
        <w:t>E</w:t>
      </w:r>
      <w:r>
        <w:t>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6"/>
        <w:gridCol w:w="3346"/>
        <w:gridCol w:w="2909"/>
      </w:tblGrid>
      <w:tr w:rsidR="003D481B" w14:paraId="47972C85" w14:textId="77777777" w:rsidTr="003D481B">
        <w:trPr>
          <w:trHeight w:val="187"/>
          <w:jc w:val="center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C3D9" w14:textId="77777777" w:rsidR="003D481B" w:rsidRDefault="003D481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</w:t>
            </w:r>
            <w:r>
              <w:rPr>
                <w:lang w:eastAsia="zh-TW"/>
              </w:rPr>
              <w:t>E</w:t>
            </w:r>
            <w:r>
              <w:rPr>
                <w:lang w:eastAsia="fi-FI"/>
              </w:rPr>
              <w:t>-DC</w:t>
            </w:r>
          </w:p>
          <w:p w14:paraId="15523573" w14:textId="77777777" w:rsidR="003D481B" w:rsidRDefault="003D481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398C" w14:textId="77777777" w:rsidR="003D481B" w:rsidRDefault="003D481B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N</w:t>
            </w:r>
            <w:r>
              <w:rPr>
                <w:lang w:val="fr-FR" w:eastAsia="zh-TW"/>
              </w:rPr>
              <w:t>E</w:t>
            </w:r>
            <w:r>
              <w:rPr>
                <w:lang w:val="fr-FR" w:eastAsia="fi-FI"/>
              </w:rPr>
              <w:t>-DC</w:t>
            </w:r>
          </w:p>
          <w:p w14:paraId="61816F3F" w14:textId="77777777" w:rsidR="003D481B" w:rsidRDefault="003D481B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 w14:paraId="3D95B75A" w14:textId="77777777" w:rsidR="003D481B" w:rsidRDefault="003D481B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CE04" w14:textId="77777777" w:rsidR="003D481B" w:rsidRDefault="003D481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3D481B" w14:paraId="56F1443C" w14:textId="77777777" w:rsidTr="003D481B">
        <w:trPr>
          <w:trHeight w:val="187"/>
          <w:jc w:val="center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3C595" w14:textId="77777777" w:rsidR="003D481B" w:rsidRDefault="003D481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</w:t>
            </w:r>
            <w:r>
              <w:rPr>
                <w:lang w:eastAsia="fi-FI"/>
              </w:rPr>
              <w:t>(n)AA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1BE" w14:textId="77777777" w:rsidR="003D481B" w:rsidRDefault="003D481B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zh-TW"/>
              </w:rPr>
              <w:t>3</w:t>
            </w:r>
            <w:r>
              <w:rPr>
                <w:lang w:eastAsia="zh-CN"/>
              </w:rPr>
              <w:t>(n)AA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CF433" w14:textId="77777777" w:rsidR="003D481B" w:rsidRDefault="003D481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 w:rsidR="003D481B" w14:paraId="79F3F316" w14:textId="77777777" w:rsidTr="003D481B">
        <w:trPr>
          <w:trHeight w:val="18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3875F" w14:textId="77777777" w:rsidR="003D481B" w:rsidRDefault="003D481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Uplink N</w:t>
            </w:r>
            <w:r>
              <w:rPr>
                <w:rFonts w:cs="Arial"/>
                <w:lang w:eastAsia="zh-TW"/>
              </w:rPr>
              <w:t>E</w:t>
            </w:r>
            <w:r>
              <w:rPr>
                <w:rFonts w:cs="Arial"/>
              </w:rPr>
              <w:t>-DC configurations are the configurations supported by the present release of specifications.</w:t>
            </w:r>
          </w:p>
          <w:p w14:paraId="4DFCE542" w14:textId="77777777" w:rsidR="003D481B" w:rsidRDefault="003D481B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fi-FI"/>
              </w:rPr>
              <w:tab/>
            </w:r>
            <w:r>
              <w:rPr>
                <w:lang w:eastAsia="zh-TW"/>
              </w:rPr>
              <w:t>Only single switched UL is supported</w:t>
            </w:r>
          </w:p>
        </w:tc>
      </w:tr>
    </w:tbl>
    <w:p w14:paraId="5831622D" w14:textId="181B0EEB" w:rsidR="003D481B" w:rsidRDefault="00870EE5" w:rsidP="006A4E98">
      <w:pPr>
        <w:spacing w:before="120"/>
      </w:pPr>
      <w:r>
        <w:t>Based on th</w:t>
      </w:r>
      <w:r w:rsidR="0071686E">
        <w:t>is</w:t>
      </w:r>
      <w:r>
        <w:t xml:space="preserve">, </w:t>
      </w:r>
      <w:r w:rsidR="0071686E">
        <w:t>it</w:t>
      </w:r>
      <w:r w:rsidR="00AD7A47">
        <w:t xml:space="preserve"> could </w:t>
      </w:r>
      <w:r w:rsidR="0060169E">
        <w:t xml:space="preserve">probably </w:t>
      </w:r>
      <w:r w:rsidR="0071686E">
        <w:t xml:space="preserve">be </w:t>
      </w:r>
      <w:r w:rsidR="00AD7A47">
        <w:t>argue</w:t>
      </w:r>
      <w:r w:rsidR="0071686E">
        <w:t>d</w:t>
      </w:r>
      <w:r w:rsidR="00AD7A47">
        <w:t xml:space="preserve"> </w:t>
      </w:r>
      <w:r w:rsidR="0071686E">
        <w:t>that the</w:t>
      </w:r>
      <w:r w:rsidR="007E671D">
        <w:t xml:space="preserve"> third case of the</w:t>
      </w:r>
      <w:r w:rsidR="0071686E">
        <w:t xml:space="preserve"> </w:t>
      </w:r>
      <w:r w:rsidR="00546F97" w:rsidRPr="00077604">
        <w:rPr>
          <w:i/>
          <w:iCs/>
        </w:rPr>
        <w:t>asyncIntraBandENDC</w:t>
      </w:r>
      <w:r w:rsidR="00546F97">
        <w:t xml:space="preserve"> capability</w:t>
      </w:r>
      <w:r w:rsidR="007E671D">
        <w:t>, i.e. “</w:t>
      </w:r>
      <w:r w:rsidR="007E671D" w:rsidRPr="00626E8D">
        <w:rPr>
          <w:rFonts w:ascii="Arial" w:hAnsi="Arial" w:cs="Arial"/>
          <w:sz w:val="18"/>
          <w:szCs w:val="18"/>
        </w:rPr>
        <w:t>Intra-band (NG)EN-DC combination without supporting UL in both the bands of the intra-band (NG)EN-DC UL part</w:t>
      </w:r>
      <w:r w:rsidR="007E671D">
        <w:rPr>
          <w:rFonts w:ascii="Arial" w:hAnsi="Arial" w:cs="Arial"/>
          <w:sz w:val="18"/>
          <w:szCs w:val="18"/>
        </w:rPr>
        <w:t>”</w:t>
      </w:r>
      <w:r w:rsidR="00546F97">
        <w:t xml:space="preserve"> </w:t>
      </w:r>
      <w:r w:rsidR="0060169E">
        <w:t>could be extended to cover NE-DC</w:t>
      </w:r>
      <w:r w:rsidR="00857BBC">
        <w:t xml:space="preserve">, </w:t>
      </w:r>
      <w:r w:rsidR="007E671D">
        <w:t>since</w:t>
      </w:r>
      <w:r w:rsidR="00115D49">
        <w:t>, base</w:t>
      </w:r>
      <w:r w:rsidR="00F75665">
        <w:t>d</w:t>
      </w:r>
      <w:r w:rsidR="00115D49">
        <w:t xml:space="preserve"> on </w:t>
      </w:r>
      <w:r w:rsidR="009027D9">
        <w:t xml:space="preserve">Note 2 in </w:t>
      </w:r>
      <w:r w:rsidR="00F75665">
        <w:t>T</w:t>
      </w:r>
      <w:r w:rsidR="00115D49">
        <w:t>able</w:t>
      </w:r>
      <w:r w:rsidR="00F75665">
        <w:t xml:space="preserve"> 5.5B-2a-1,</w:t>
      </w:r>
      <w:r w:rsidR="007E671D">
        <w:t xml:space="preserve"> DC_3(n)AA</w:t>
      </w:r>
      <w:r w:rsidR="00115D49">
        <w:t xml:space="preserve"> would be considered an intra-band combination </w:t>
      </w:r>
      <w:r w:rsidR="009027D9">
        <w:t>that does not support UL in both the bands of the intra-band UL part</w:t>
      </w:r>
      <w:r w:rsidR="0060169E">
        <w:t>.</w:t>
      </w:r>
    </w:p>
    <w:p w14:paraId="379AB790" w14:textId="3F02FBD7" w:rsidR="0041450D" w:rsidRPr="006C7009" w:rsidRDefault="0041450D" w:rsidP="006A4E98">
      <w:pPr>
        <w:spacing w:before="120"/>
        <w:rPr>
          <w:b/>
          <w:bCs/>
        </w:rPr>
      </w:pPr>
      <w:r w:rsidRPr="006C7009">
        <w:rPr>
          <w:b/>
          <w:bCs/>
        </w:rPr>
        <w:t>Observation 3</w:t>
      </w:r>
      <w:r w:rsidRPr="006D1DCA">
        <w:t xml:space="preserve">: </w:t>
      </w:r>
      <w:r w:rsidR="004C1605" w:rsidRPr="006D1DCA">
        <w:t>Based on the definition of DC_3(n)AA</w:t>
      </w:r>
      <w:r w:rsidR="004C1605">
        <w:t xml:space="preserve"> in Rel-18</w:t>
      </w:r>
      <w:r w:rsidR="004C1605" w:rsidRPr="006D1DCA">
        <w:t xml:space="preserve">, the third </w:t>
      </w:r>
      <w:r w:rsidR="004C1605">
        <w:t>intra-band</w:t>
      </w:r>
      <w:r w:rsidR="004C1605">
        <w:t xml:space="preserve"> case</w:t>
      </w:r>
      <w:r w:rsidR="007129BC" w:rsidRPr="006D1DCA">
        <w:t xml:space="preserve"> where </w:t>
      </w:r>
      <w:r w:rsidR="007129BC" w:rsidRPr="006D1DCA">
        <w:rPr>
          <w:i/>
          <w:iCs/>
        </w:rPr>
        <w:t xml:space="preserve">asyncIntraBandENDC </w:t>
      </w:r>
      <w:r w:rsidR="007129BC" w:rsidRPr="006D1DCA">
        <w:t xml:space="preserve">applies </w:t>
      </w:r>
      <w:r w:rsidR="006C7009" w:rsidRPr="006D1DCA">
        <w:t xml:space="preserve">seems like it could be extended to </w:t>
      </w:r>
      <w:r w:rsidRPr="006D1DCA">
        <w:t>NE-DC</w:t>
      </w:r>
      <w:r w:rsidR="00D001D4" w:rsidRPr="006D1DCA">
        <w:t xml:space="preserve">, at least </w:t>
      </w:r>
      <w:r w:rsidR="00622398" w:rsidRPr="006D1DCA">
        <w:t>in Rel-18</w:t>
      </w:r>
      <w:r w:rsidR="006C7009" w:rsidRPr="006D1DCA">
        <w:t>.</w:t>
      </w:r>
      <w:r w:rsidR="007129BC" w:rsidRPr="006C7009">
        <w:rPr>
          <w:b/>
          <w:bCs/>
        </w:rPr>
        <w:t xml:space="preserve"> </w:t>
      </w:r>
    </w:p>
    <w:p w14:paraId="33E542A2" w14:textId="78B67DDA" w:rsidR="006C7009" w:rsidRDefault="00860516" w:rsidP="009339CB">
      <w:r>
        <w:t xml:space="preserve">So now that RAN4 has begun to define intra-band NE-DC </w:t>
      </w:r>
      <w:r w:rsidR="004830FA">
        <w:t>combinations</w:t>
      </w:r>
      <w:r>
        <w:t xml:space="preserve">, we do </w:t>
      </w:r>
      <w:r w:rsidR="006C7009">
        <w:t>not see any reason</w:t>
      </w:r>
      <w:r>
        <w:t>, at least in principle,</w:t>
      </w:r>
      <w:r w:rsidR="009C6EF8">
        <w:t xml:space="preserve"> why the other</w:t>
      </w:r>
      <w:r w:rsidR="00882CE2">
        <w:t xml:space="preserve"> intra-band</w:t>
      </w:r>
      <w:r w:rsidR="009C6EF8">
        <w:t xml:space="preserve"> cases covered by the capability could also not be extended</w:t>
      </w:r>
      <w:r w:rsidR="00CB7DC5">
        <w:t xml:space="preserve">. </w:t>
      </w:r>
      <w:r w:rsidR="00B93E4B">
        <w:t>E</w:t>
      </w:r>
      <w:r w:rsidR="00CB7DC5">
        <w:t xml:space="preserve">xtending </w:t>
      </w:r>
      <w:proofErr w:type="gramStart"/>
      <w:r w:rsidR="00CB7DC5">
        <w:t>all of</w:t>
      </w:r>
      <w:proofErr w:type="gramEnd"/>
      <w:r w:rsidR="00CB7DC5">
        <w:t xml:space="preserve"> the intra-band cases covered by the capability to NE-DC at the same time</w:t>
      </w:r>
      <w:r w:rsidR="00B93E4B">
        <w:t xml:space="preserve"> would provide more flexibility, and we could avoid having to update the capability in </w:t>
      </w:r>
      <w:r w:rsidR="00945EA9">
        <w:t>the future</w:t>
      </w:r>
      <w:r w:rsidR="00B93E4B">
        <w:t xml:space="preserve"> </w:t>
      </w:r>
      <w:r w:rsidR="00945EA9">
        <w:t>if/when RAN4 defines additional intra-band NE-DC combinations.</w:t>
      </w:r>
    </w:p>
    <w:p w14:paraId="2E8B1911" w14:textId="370B9EF8" w:rsidR="00945EA9" w:rsidRPr="006D1DCA" w:rsidRDefault="00945EA9" w:rsidP="009339CB">
      <w:r w:rsidRPr="005C5140">
        <w:rPr>
          <w:b/>
          <w:bCs/>
        </w:rPr>
        <w:t>Observatio</w:t>
      </w:r>
      <w:r w:rsidR="00622398" w:rsidRPr="005C5140">
        <w:rPr>
          <w:b/>
          <w:bCs/>
        </w:rPr>
        <w:t>n</w:t>
      </w:r>
      <w:r w:rsidRPr="005C5140">
        <w:rPr>
          <w:b/>
          <w:bCs/>
        </w:rPr>
        <w:t xml:space="preserve"> 4</w:t>
      </w:r>
      <w:r w:rsidRPr="006D1DCA">
        <w:t xml:space="preserve">: </w:t>
      </w:r>
      <w:r w:rsidR="006C080D" w:rsidRPr="006D1DCA">
        <w:t xml:space="preserve">To be future-proof, </w:t>
      </w:r>
      <w:r w:rsidR="005C5140" w:rsidRPr="006D1DCA">
        <w:t xml:space="preserve">RAN2 </w:t>
      </w:r>
      <w:r w:rsidR="00BC7497" w:rsidRPr="006D1DCA">
        <w:t>could</w:t>
      </w:r>
      <w:r w:rsidR="005C5140" w:rsidRPr="006D1DCA">
        <w:t xml:space="preserve"> </w:t>
      </w:r>
      <w:r w:rsidR="006C080D" w:rsidRPr="006D1DCA">
        <w:t xml:space="preserve">consider </w:t>
      </w:r>
      <w:r w:rsidR="00BD5FDF" w:rsidRPr="006D1DCA">
        <w:t>e</w:t>
      </w:r>
      <w:r w:rsidRPr="006D1DCA">
        <w:t>xtend</w:t>
      </w:r>
      <w:r w:rsidR="006C080D" w:rsidRPr="006D1DCA">
        <w:t>ing</w:t>
      </w:r>
      <w:r w:rsidR="00E51681" w:rsidRPr="006D1DCA">
        <w:t xml:space="preserve"> </w:t>
      </w:r>
      <w:r w:rsidRPr="006D1DCA">
        <w:t xml:space="preserve">all </w:t>
      </w:r>
      <w:r w:rsidR="00622398" w:rsidRPr="006D1DCA">
        <w:t xml:space="preserve">three </w:t>
      </w:r>
      <w:r w:rsidRPr="006D1DCA">
        <w:t>in</w:t>
      </w:r>
      <w:r w:rsidR="00E51681" w:rsidRPr="006D1DCA">
        <w:t>t</w:t>
      </w:r>
      <w:r w:rsidRPr="006D1DCA">
        <w:t xml:space="preserve">ra-band </w:t>
      </w:r>
      <w:r w:rsidR="00EC4602" w:rsidRPr="006D1DCA">
        <w:t>cases</w:t>
      </w:r>
      <w:r w:rsidR="00622398" w:rsidRPr="006D1DCA">
        <w:t xml:space="preserve"> covered by</w:t>
      </w:r>
      <w:r w:rsidR="00EC4602" w:rsidRPr="006D1DCA">
        <w:t xml:space="preserve"> </w:t>
      </w:r>
      <w:r w:rsidRPr="006D1DCA">
        <w:rPr>
          <w:i/>
          <w:iCs/>
        </w:rPr>
        <w:t xml:space="preserve">asyncIntraBandENDC </w:t>
      </w:r>
      <w:r w:rsidR="00E51681" w:rsidRPr="006D1DCA">
        <w:t>to</w:t>
      </w:r>
      <w:r w:rsidR="00EC4602" w:rsidRPr="006D1DCA">
        <w:t xml:space="preserve"> NE-DC</w:t>
      </w:r>
      <w:r w:rsidR="00622398" w:rsidRPr="006D1DCA">
        <w:t xml:space="preserve"> at the same time</w:t>
      </w:r>
      <w:r w:rsidR="00EC4602" w:rsidRPr="006D1DCA">
        <w:t>.</w:t>
      </w:r>
    </w:p>
    <w:p w14:paraId="7DAC104D" w14:textId="67B34154" w:rsidR="000D5771" w:rsidRDefault="003E48F5" w:rsidP="009339CB">
      <w:r>
        <w:t>Although</w:t>
      </w:r>
      <w:r w:rsidR="008A11D5">
        <w:t xml:space="preserve"> </w:t>
      </w:r>
      <w:r>
        <w:t>we</w:t>
      </w:r>
      <w:r w:rsidR="008A11D5">
        <w:t xml:space="preserve"> </w:t>
      </w:r>
      <w:r>
        <w:t>think RAN2 could consider extending the capability</w:t>
      </w:r>
      <w:r w:rsidR="008A11D5">
        <w:t xml:space="preserve"> </w:t>
      </w:r>
      <w:r w:rsidR="006F20AF">
        <w:t>to cover the three intra-band NE-DC cases starting in Rel-18</w:t>
      </w:r>
      <w:r>
        <w:t>, we</w:t>
      </w:r>
      <w:r w:rsidR="006F20AF">
        <w:t xml:space="preserve"> are not</w:t>
      </w:r>
      <w:r>
        <w:t xml:space="preserve"> really</w:t>
      </w:r>
      <w:r w:rsidR="006F20AF">
        <w:t xml:space="preserve"> </w:t>
      </w:r>
      <w:r w:rsidR="004830FA">
        <w:t>convinced</w:t>
      </w:r>
      <w:r w:rsidR="006F20AF">
        <w:t xml:space="preserve"> </w:t>
      </w:r>
      <w:r w:rsidR="000D5771">
        <w:t>this</w:t>
      </w:r>
      <w:r w:rsidR="006F20AF">
        <w:t xml:space="preserve"> is needed in earlier releases (since no intra-band NE-DC combinations are defined in earlier releases)</w:t>
      </w:r>
      <w:r w:rsidR="000D5771">
        <w:t>.</w:t>
      </w:r>
    </w:p>
    <w:p w14:paraId="1C1A9463" w14:textId="0CA65111" w:rsidR="00D718FF" w:rsidRDefault="000D5771" w:rsidP="000D5771">
      <w:r>
        <w:t>However</w:t>
      </w:r>
      <w:r w:rsidR="003B4EB0">
        <w:t xml:space="preserve"> even for Rel-18 intra-band NE-DC</w:t>
      </w:r>
      <w:r>
        <w:t xml:space="preserve">, </w:t>
      </w:r>
      <w:r w:rsidR="00F22EAE">
        <w:t>there is</w:t>
      </w:r>
      <w:r w:rsidR="009A7A36">
        <w:t xml:space="preserve"> still</w:t>
      </w:r>
      <w:r w:rsidR="00D46C90">
        <w:t xml:space="preserve"> one</w:t>
      </w:r>
      <w:r w:rsidR="00D718FF">
        <w:t xml:space="preserve"> </w:t>
      </w:r>
      <w:r w:rsidR="002A2729">
        <w:t>critical</w:t>
      </w:r>
      <w:r w:rsidR="00D718FF">
        <w:t xml:space="preserve"> aspect that </w:t>
      </w:r>
      <w:r w:rsidR="002A2729">
        <w:t>is not clear: right now, RAN4 does not appear to have defined any M</w:t>
      </w:r>
      <w:r w:rsidR="00992239">
        <w:t>T</w:t>
      </w:r>
      <w:r w:rsidR="002A2729">
        <w:t>TD/M</w:t>
      </w:r>
      <w:r w:rsidR="00992239">
        <w:t>R</w:t>
      </w:r>
      <w:r w:rsidR="002A2729">
        <w:t xml:space="preserve">TD requirements for </w:t>
      </w:r>
      <w:r w:rsidR="002A2729">
        <w:rPr>
          <w:i/>
          <w:iCs/>
        </w:rPr>
        <w:t>asynchronous</w:t>
      </w:r>
      <w:r w:rsidR="002A2729">
        <w:t xml:space="preserve"> intra-band NE-DC in TS 38.133 clause </w:t>
      </w:r>
      <w:r w:rsidR="00E24B87">
        <w:t>7.5/7.6</w:t>
      </w:r>
      <w:r w:rsidR="00A65D4A">
        <w:t xml:space="preserve">, i.e. </w:t>
      </w:r>
      <w:r w:rsidR="00E24B87">
        <w:t xml:space="preserve">only synchronous intra-band NE-DC </w:t>
      </w:r>
      <w:r w:rsidR="00982107">
        <w:t>requirements have been defined</w:t>
      </w:r>
      <w:r w:rsidR="00A65D4A">
        <w:t xml:space="preserve">. This means that </w:t>
      </w:r>
      <w:r w:rsidR="00982107">
        <w:t xml:space="preserve">it is quite meaningless for a UE </w:t>
      </w:r>
      <w:r w:rsidR="00A65D4A">
        <w:t xml:space="preserve">indicate that it supports asynchronous intra-band NE-DC, and a network would not know how to interpret </w:t>
      </w:r>
      <w:r w:rsidR="00E751EF">
        <w:t>which requirements are applicable to the UE</w:t>
      </w:r>
      <w:r w:rsidR="003B4EB0">
        <w:t xml:space="preserve"> signalling this capability for an </w:t>
      </w:r>
      <w:r w:rsidR="00C20F73">
        <w:t xml:space="preserve">intra-band </w:t>
      </w:r>
      <w:r w:rsidR="003B4EB0">
        <w:t>NE-DC band combination</w:t>
      </w:r>
      <w:r w:rsidR="00E751EF">
        <w:t>.</w:t>
      </w:r>
    </w:p>
    <w:p w14:paraId="55CB139F" w14:textId="19C4259A" w:rsidR="003B4EB0" w:rsidRPr="005228C8" w:rsidRDefault="00C20F73" w:rsidP="000D5771">
      <w:pPr>
        <w:rPr>
          <w:b/>
          <w:bCs/>
        </w:rPr>
      </w:pPr>
      <w:r w:rsidRPr="005228C8">
        <w:rPr>
          <w:b/>
          <w:bCs/>
        </w:rPr>
        <w:lastRenderedPageBreak/>
        <w:t>Observation 5</w:t>
      </w:r>
      <w:r w:rsidRPr="006D1DCA">
        <w:t xml:space="preserve">: </w:t>
      </w:r>
      <w:r w:rsidR="00CB25A6" w:rsidRPr="006D1DCA">
        <w:t xml:space="preserve">A network cannot </w:t>
      </w:r>
      <w:r w:rsidR="00AC401D">
        <w:t xml:space="preserve">currently </w:t>
      </w:r>
      <w:r w:rsidR="00CB25A6" w:rsidRPr="006D1DCA">
        <w:t xml:space="preserve">interpret the meaning of </w:t>
      </w:r>
      <w:r w:rsidR="00AD19DE" w:rsidRPr="006D1DCA">
        <w:t xml:space="preserve">a UE indicating </w:t>
      </w:r>
      <w:r w:rsidR="00CB25A6" w:rsidRPr="006D1DCA">
        <w:t xml:space="preserve">asynchronous intra-band NE-DC </w:t>
      </w:r>
      <w:r w:rsidR="00AD19DE" w:rsidRPr="006D1DCA">
        <w:t xml:space="preserve">support, because </w:t>
      </w:r>
      <w:r w:rsidR="00AB7956" w:rsidRPr="006D1DCA">
        <w:t>RAN4 has not defined the MTTD/MRTD requirements for asynchronous intra-band NE-DC in TS 38.133 clauses 7.5/7.6.</w:t>
      </w:r>
    </w:p>
    <w:p w14:paraId="59609A20" w14:textId="4BA8273E" w:rsidR="0063533C" w:rsidRDefault="00BE7C8B" w:rsidP="009339CB">
      <w:r>
        <w:t>Based on the above discussion</w:t>
      </w:r>
      <w:r w:rsidR="00F22EAE">
        <w:t xml:space="preserve"> and observations</w:t>
      </w:r>
      <w:r>
        <w:t xml:space="preserve"> we think </w:t>
      </w:r>
      <w:r w:rsidR="00657716">
        <w:t xml:space="preserve">a </w:t>
      </w:r>
      <w:r w:rsidR="00EE2860">
        <w:t xml:space="preserve">few </w:t>
      </w:r>
      <w:r w:rsidR="00657716">
        <w:t xml:space="preserve">details need to be </w:t>
      </w:r>
      <w:r w:rsidR="00646C79">
        <w:t>clarified with</w:t>
      </w:r>
      <w:r w:rsidR="00657716">
        <w:t xml:space="preserve"> </w:t>
      </w:r>
      <w:r w:rsidR="00646C79">
        <w:t xml:space="preserve">RAN4 </w:t>
      </w:r>
      <w:r w:rsidR="00AD19DE">
        <w:t xml:space="preserve">before RAN2 agrees to </w:t>
      </w:r>
      <w:r w:rsidR="00657716">
        <w:t xml:space="preserve">extend </w:t>
      </w:r>
      <w:r w:rsidR="00657716" w:rsidRPr="00077604">
        <w:rPr>
          <w:i/>
          <w:iCs/>
        </w:rPr>
        <w:t>asyncIntraBandENDC</w:t>
      </w:r>
      <w:r w:rsidR="00657716">
        <w:t xml:space="preserve"> </w:t>
      </w:r>
      <w:r w:rsidR="00657716">
        <w:t>to cover NE-DC</w:t>
      </w:r>
      <w:r w:rsidR="0066107B">
        <w:t>.</w:t>
      </w:r>
    </w:p>
    <w:p w14:paraId="6212C027" w14:textId="3CCFCF37" w:rsidR="0007353E" w:rsidRPr="006D1DCA" w:rsidRDefault="0007353E" w:rsidP="009339CB">
      <w:r w:rsidRPr="002B4300">
        <w:rPr>
          <w:b/>
          <w:bCs/>
        </w:rPr>
        <w:t>Proposal 1</w:t>
      </w:r>
      <w:r w:rsidRPr="006D1DCA">
        <w:t xml:space="preserve">: RAN2 should clarify the following with RAN4 before extending </w:t>
      </w:r>
      <w:r w:rsidR="00695980" w:rsidRPr="006D1DCA">
        <w:rPr>
          <w:i/>
          <w:iCs/>
        </w:rPr>
        <w:t>asyncIntraBandENDC</w:t>
      </w:r>
      <w:r w:rsidR="00695980" w:rsidRPr="006D1DCA">
        <w:t xml:space="preserve"> to NE-DC:</w:t>
      </w:r>
    </w:p>
    <w:p w14:paraId="426BD746" w14:textId="68C04F4B" w:rsidR="0063533C" w:rsidRPr="006D1DCA" w:rsidRDefault="00646C79" w:rsidP="0063533C">
      <w:pPr>
        <w:pStyle w:val="B1"/>
        <w:numPr>
          <w:ilvl w:val="0"/>
          <w:numId w:val="9"/>
        </w:numPr>
      </w:pPr>
      <w:r w:rsidRPr="006D1DCA">
        <w:t xml:space="preserve">Does </w:t>
      </w:r>
      <w:r w:rsidR="00554C77" w:rsidRPr="006D1DCA">
        <w:t xml:space="preserve">RAN4 intend </w:t>
      </w:r>
      <w:r w:rsidRPr="006D1DCA">
        <w:t xml:space="preserve">for </w:t>
      </w:r>
      <w:r w:rsidR="00554C77" w:rsidRPr="006D1DCA">
        <w:rPr>
          <w:i/>
          <w:iCs/>
        </w:rPr>
        <w:t>asyncIntraBandENDC</w:t>
      </w:r>
      <w:r w:rsidR="00554C77" w:rsidRPr="006D1DCA">
        <w:t xml:space="preserve"> to be </w:t>
      </w:r>
      <w:r w:rsidRPr="006D1DCA">
        <w:t xml:space="preserve">extended to NE-DC </w:t>
      </w:r>
      <w:r w:rsidR="0017144D" w:rsidRPr="006D1DCA">
        <w:t>for</w:t>
      </w:r>
      <w:r w:rsidR="00554C77" w:rsidRPr="006D1DCA">
        <w:t xml:space="preserve"> </w:t>
      </w:r>
      <w:r w:rsidRPr="006D1DCA">
        <w:t xml:space="preserve">the three </w:t>
      </w:r>
      <w:r w:rsidR="00554C77" w:rsidRPr="006D1DCA">
        <w:t xml:space="preserve">intra-band </w:t>
      </w:r>
      <w:r w:rsidRPr="006D1DCA">
        <w:t>cases</w:t>
      </w:r>
      <w:r w:rsidR="00C9474B" w:rsidRPr="006D1DCA">
        <w:t xml:space="preserve"> currently</w:t>
      </w:r>
      <w:r w:rsidRPr="006D1DCA">
        <w:t xml:space="preserve"> covered by the capability </w:t>
      </w:r>
      <w:r w:rsidR="00F17204" w:rsidRPr="006D1DCA">
        <w:t>or just</w:t>
      </w:r>
      <w:r w:rsidR="0017144D" w:rsidRPr="006D1DCA">
        <w:t xml:space="preserve"> for the case of </w:t>
      </w:r>
      <w:r w:rsidR="00F17204" w:rsidRPr="006D1DCA">
        <w:t>inter-band NE-DC with overlapping bands</w:t>
      </w:r>
      <w:r w:rsidRPr="006D1DCA">
        <w:t>?</w:t>
      </w:r>
    </w:p>
    <w:p w14:paraId="480C1603" w14:textId="7F295004" w:rsidR="00EE2860" w:rsidRPr="006D1DCA" w:rsidRDefault="00EE2860" w:rsidP="0063533C">
      <w:pPr>
        <w:pStyle w:val="B1"/>
        <w:numPr>
          <w:ilvl w:val="0"/>
          <w:numId w:val="9"/>
        </w:numPr>
      </w:pPr>
      <w:r w:rsidRPr="006D1DCA">
        <w:t xml:space="preserve">If the intention </w:t>
      </w:r>
      <w:r w:rsidR="0017144D" w:rsidRPr="006D1DCA">
        <w:t>is</w:t>
      </w:r>
      <w:r w:rsidRPr="006D1DCA">
        <w:t xml:space="preserve"> for the </w:t>
      </w:r>
      <w:r w:rsidR="004830FA" w:rsidRPr="006D1DCA">
        <w:t>capability</w:t>
      </w:r>
      <w:r w:rsidRPr="006D1DCA">
        <w:t xml:space="preserve"> to be extended to NE-DC</w:t>
      </w:r>
      <w:r w:rsidR="00504239" w:rsidRPr="006D1DCA">
        <w:t xml:space="preserve"> in the intra-band cases, will the M</w:t>
      </w:r>
      <w:r w:rsidR="00992239" w:rsidRPr="006D1DCA">
        <w:t>T</w:t>
      </w:r>
      <w:r w:rsidR="00504239" w:rsidRPr="006D1DCA">
        <w:t>TD/M</w:t>
      </w:r>
      <w:r w:rsidR="00992239" w:rsidRPr="006D1DCA">
        <w:t>R</w:t>
      </w:r>
      <w:r w:rsidR="00504239" w:rsidRPr="006D1DCA">
        <w:t xml:space="preserve">TD requirements defined in TS 38.133 clauses 7.5/7.6 </w:t>
      </w:r>
      <w:r w:rsidR="0017144D" w:rsidRPr="006D1DCA">
        <w:t xml:space="preserve">be updated to </w:t>
      </w:r>
      <w:r w:rsidR="00365C9A" w:rsidRPr="006D1DCA">
        <w:t>clarify the asynchronous requirements for intra-band NE-DC</w:t>
      </w:r>
      <w:r w:rsidR="0017144D" w:rsidRPr="006D1DCA">
        <w:t>?</w:t>
      </w:r>
    </w:p>
    <w:p w14:paraId="1E43A512" w14:textId="61486BEE" w:rsidR="00893246" w:rsidRPr="006D1DCA" w:rsidRDefault="00DF7345" w:rsidP="00EE2860">
      <w:pPr>
        <w:pStyle w:val="B1"/>
        <w:numPr>
          <w:ilvl w:val="0"/>
          <w:numId w:val="9"/>
        </w:numPr>
      </w:pPr>
      <w:r w:rsidRPr="006D1DCA">
        <w:t>If the</w:t>
      </w:r>
      <w:r w:rsidR="00F524D0" w:rsidRPr="006D1DCA">
        <w:t xml:space="preserve"> intention </w:t>
      </w:r>
      <w:r w:rsidR="0017144D" w:rsidRPr="006D1DCA">
        <w:t>is</w:t>
      </w:r>
      <w:r w:rsidR="00F524D0" w:rsidRPr="006D1DCA">
        <w:t xml:space="preserve"> for the</w:t>
      </w:r>
      <w:r w:rsidRPr="006D1DCA">
        <w:t xml:space="preserve"> capability to be extended to </w:t>
      </w:r>
      <w:r w:rsidR="00F524D0" w:rsidRPr="006D1DCA">
        <w:t xml:space="preserve">NE-DC in the </w:t>
      </w:r>
      <w:r w:rsidRPr="006D1DCA">
        <w:t xml:space="preserve">intra-band </w:t>
      </w:r>
      <w:r w:rsidR="00F524D0" w:rsidRPr="006D1DCA">
        <w:t>cases,</w:t>
      </w:r>
      <w:r w:rsidRPr="006D1DCA">
        <w:t xml:space="preserve"> </w:t>
      </w:r>
      <w:r w:rsidR="0017144D" w:rsidRPr="006D1DCA">
        <w:t>is</w:t>
      </w:r>
      <w:r w:rsidRPr="006D1DCA">
        <w:t xml:space="preserve"> th</w:t>
      </w:r>
      <w:r w:rsidR="00F524D0" w:rsidRPr="006D1DCA">
        <w:t xml:space="preserve">at change </w:t>
      </w:r>
      <w:r w:rsidR="0017144D" w:rsidRPr="006D1DCA">
        <w:t xml:space="preserve">applicable to </w:t>
      </w:r>
      <w:r w:rsidR="00893246" w:rsidRPr="006D1DCA">
        <w:t>legacy releases or only starting in Rel-18</w:t>
      </w:r>
      <w:r w:rsidR="0017144D" w:rsidRPr="006D1DCA">
        <w:t>?</w:t>
      </w:r>
    </w:p>
    <w:p w14:paraId="175CEE1E" w14:textId="6F7CDB8F" w:rsidR="009339CB" w:rsidRDefault="000A432E" w:rsidP="009339CB">
      <w:r>
        <w:t xml:space="preserve">Based on these ambiguities, we have drafted a text proposal for an LS in the </w:t>
      </w:r>
      <w:r w:rsidR="0039187A">
        <w:t>Annex</w:t>
      </w:r>
      <w:r>
        <w:t>.</w:t>
      </w:r>
      <w:r w:rsidR="0039187A">
        <w:t xml:space="preserve"> It is proposed to send this</w:t>
      </w:r>
      <w:r w:rsidR="002B4300">
        <w:t xml:space="preserve"> draft LS</w:t>
      </w:r>
      <w:r w:rsidR="0039187A">
        <w:t xml:space="preserve"> to RAN4.</w:t>
      </w:r>
    </w:p>
    <w:p w14:paraId="1204BEED" w14:textId="600D3192" w:rsidR="0039187A" w:rsidRPr="0066107B" w:rsidRDefault="0039187A" w:rsidP="009339CB">
      <w:pPr>
        <w:rPr>
          <w:b/>
          <w:bCs/>
        </w:rPr>
      </w:pPr>
      <w:r w:rsidRPr="0066107B">
        <w:rPr>
          <w:b/>
          <w:bCs/>
        </w:rPr>
        <w:t xml:space="preserve">Proposal </w:t>
      </w:r>
      <w:r w:rsidR="0066107B" w:rsidRPr="0066107B">
        <w:rPr>
          <w:b/>
          <w:bCs/>
        </w:rPr>
        <w:t>2</w:t>
      </w:r>
      <w:r w:rsidR="0066107B" w:rsidRPr="006D1DCA">
        <w:t xml:space="preserve">: Send </w:t>
      </w:r>
      <w:r w:rsidR="00D22739" w:rsidRPr="006D1DCA">
        <w:t xml:space="preserve">draft </w:t>
      </w:r>
      <w:r w:rsidR="0066107B" w:rsidRPr="006D1DCA">
        <w:t xml:space="preserve">LS </w:t>
      </w:r>
      <w:r w:rsidR="00D22739" w:rsidRPr="006D1DCA">
        <w:t>from the Annex</w:t>
      </w:r>
      <w:r w:rsidR="0066107B" w:rsidRPr="006D1DCA">
        <w:t xml:space="preserve"> to clarify </w:t>
      </w:r>
      <w:r w:rsidR="0091529E" w:rsidRPr="006D1DCA">
        <w:t xml:space="preserve">the </w:t>
      </w:r>
      <w:r w:rsidR="0066107B" w:rsidRPr="006D1DCA">
        <w:t>questions in Proposal 1.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1B272038" w14:textId="77777777" w:rsidR="006D1DCA" w:rsidRPr="00CD51A6" w:rsidRDefault="006D1DCA" w:rsidP="006D1DCA">
      <w:pPr>
        <w:spacing w:before="120"/>
        <w:rPr>
          <w:b/>
          <w:bCs/>
        </w:rPr>
      </w:pPr>
      <w:r w:rsidRPr="00CD51A6">
        <w:rPr>
          <w:b/>
          <w:bCs/>
        </w:rPr>
        <w:t>Observation 1</w:t>
      </w:r>
      <w:r w:rsidRPr="006D1DCA">
        <w:t xml:space="preserve">: </w:t>
      </w:r>
      <w:r w:rsidRPr="006D1DCA">
        <w:rPr>
          <w:i/>
          <w:iCs/>
        </w:rPr>
        <w:t>asyncIntraBandENDC</w:t>
      </w:r>
      <w:r w:rsidRPr="006D1DCA">
        <w:t xml:space="preserve"> is applicable to three intra-band EN-DC cases and one inter-band EN-DC case, but it is not clear if RAN4 intends for the capability to be extended to NE-DC for all four cases.</w:t>
      </w:r>
    </w:p>
    <w:p w14:paraId="470BD019" w14:textId="77777777" w:rsidR="006D1DCA" w:rsidRPr="006D1DCA" w:rsidRDefault="006D1DCA" w:rsidP="006D1DCA">
      <w:pPr>
        <w:spacing w:before="120"/>
      </w:pPr>
      <w:r w:rsidRPr="006D1DCA">
        <w:rPr>
          <w:b/>
          <w:bCs/>
        </w:rPr>
        <w:t>Observation 2</w:t>
      </w:r>
      <w:r w:rsidRPr="006D1DCA">
        <w:t xml:space="preserve">: RAN4 discussed the update to </w:t>
      </w:r>
      <w:r w:rsidRPr="006D1DCA">
        <w:rPr>
          <w:i/>
          <w:iCs/>
        </w:rPr>
        <w:t>asyncIntraBandENDC</w:t>
      </w:r>
      <w:r w:rsidRPr="006D1DCA">
        <w:t xml:space="preserve"> under TEI16, but no intra-band NE-DC combinations are defined in Rel-16 or Rel-17.</w:t>
      </w:r>
    </w:p>
    <w:p w14:paraId="2B3B1B10" w14:textId="268AD6F1" w:rsidR="006D1DCA" w:rsidRPr="006C7009" w:rsidRDefault="006D1DCA" w:rsidP="006D1DCA">
      <w:pPr>
        <w:spacing w:before="120"/>
        <w:rPr>
          <w:b/>
          <w:bCs/>
        </w:rPr>
      </w:pPr>
      <w:r w:rsidRPr="006C7009">
        <w:rPr>
          <w:b/>
          <w:bCs/>
        </w:rPr>
        <w:t>Observation 3</w:t>
      </w:r>
      <w:r w:rsidRPr="006D1DCA">
        <w:t>: Based on the definition of DC_3(n)AA</w:t>
      </w:r>
      <w:r w:rsidR="004C1605">
        <w:t xml:space="preserve"> in Rel-18</w:t>
      </w:r>
      <w:r w:rsidRPr="006D1DCA">
        <w:t xml:space="preserve">, the third </w:t>
      </w:r>
      <w:r w:rsidR="004C1605">
        <w:t xml:space="preserve">intra-band </w:t>
      </w:r>
      <w:r w:rsidRPr="006D1DCA">
        <w:t xml:space="preserve">case where </w:t>
      </w:r>
      <w:r w:rsidRPr="006D1DCA">
        <w:rPr>
          <w:i/>
          <w:iCs/>
        </w:rPr>
        <w:t xml:space="preserve">asyncIntraBandENDC </w:t>
      </w:r>
      <w:r w:rsidRPr="006D1DCA">
        <w:t>applies seems like it could be extended to NE-DC, at least in Rel-18.</w:t>
      </w:r>
      <w:r w:rsidRPr="006C7009">
        <w:rPr>
          <w:b/>
          <w:bCs/>
        </w:rPr>
        <w:t xml:space="preserve"> </w:t>
      </w:r>
    </w:p>
    <w:p w14:paraId="1589EF56" w14:textId="77777777" w:rsidR="006D1DCA" w:rsidRPr="006D1DCA" w:rsidRDefault="006D1DCA" w:rsidP="006D1DCA">
      <w:r w:rsidRPr="005C5140">
        <w:rPr>
          <w:b/>
          <w:bCs/>
        </w:rPr>
        <w:t>Observation 4</w:t>
      </w:r>
      <w:r w:rsidRPr="006D1DCA">
        <w:t xml:space="preserve">: To be future-proof, RAN2 could consider extending all three intra-band cases covered by </w:t>
      </w:r>
      <w:r w:rsidRPr="006D1DCA">
        <w:rPr>
          <w:i/>
          <w:iCs/>
        </w:rPr>
        <w:t xml:space="preserve">asyncIntraBandENDC </w:t>
      </w:r>
      <w:r w:rsidRPr="006D1DCA">
        <w:t>to NE-DC at the same time.</w:t>
      </w:r>
    </w:p>
    <w:p w14:paraId="67AF6465" w14:textId="51BC4200" w:rsidR="006D1DCA" w:rsidRPr="005228C8" w:rsidRDefault="006D1DCA" w:rsidP="006D1DCA">
      <w:pPr>
        <w:rPr>
          <w:b/>
          <w:bCs/>
        </w:rPr>
      </w:pPr>
      <w:r w:rsidRPr="005228C8">
        <w:rPr>
          <w:b/>
          <w:bCs/>
        </w:rPr>
        <w:t>Observation 5</w:t>
      </w:r>
      <w:r w:rsidRPr="006D1DCA">
        <w:t xml:space="preserve">: A network cannot </w:t>
      </w:r>
      <w:r w:rsidR="00AC401D">
        <w:t xml:space="preserve">currently </w:t>
      </w:r>
      <w:r w:rsidRPr="006D1DCA">
        <w:t>interpret the meaning of a UE indicating asynchronous intra-band NE-DC support, because RAN4 has not defined the MTTD/MRTD requirements for asynchronous intra-band NE-DC in TS 38.133 clauses 7.5/7.6.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1679566D" w14:textId="77777777" w:rsidR="006D1DCA" w:rsidRPr="006D1DCA" w:rsidRDefault="006D1DCA" w:rsidP="006D1DCA">
      <w:r w:rsidRPr="002B4300">
        <w:rPr>
          <w:b/>
          <w:bCs/>
        </w:rPr>
        <w:t>Proposal 1</w:t>
      </w:r>
      <w:r w:rsidRPr="006D1DCA">
        <w:t xml:space="preserve">: RAN2 should clarify the following with RAN4 before extending </w:t>
      </w:r>
      <w:r w:rsidRPr="006D1DCA">
        <w:rPr>
          <w:i/>
          <w:iCs/>
        </w:rPr>
        <w:t>asyncIntraBandENDC</w:t>
      </w:r>
      <w:r w:rsidRPr="006D1DCA">
        <w:t xml:space="preserve"> to NE-DC:</w:t>
      </w:r>
    </w:p>
    <w:p w14:paraId="47F55828" w14:textId="7B00012E" w:rsidR="006D1DCA" w:rsidRPr="006D1DCA" w:rsidRDefault="006D1DCA" w:rsidP="006D1DCA">
      <w:pPr>
        <w:pStyle w:val="B1"/>
        <w:numPr>
          <w:ilvl w:val="0"/>
          <w:numId w:val="12"/>
        </w:numPr>
      </w:pPr>
      <w:r w:rsidRPr="006D1DCA">
        <w:t xml:space="preserve">Does RAN4 intend for </w:t>
      </w:r>
      <w:r w:rsidRPr="006D1DCA">
        <w:rPr>
          <w:i/>
          <w:iCs/>
        </w:rPr>
        <w:t>asyncIntraBandENDC</w:t>
      </w:r>
      <w:r w:rsidRPr="006D1DCA">
        <w:t xml:space="preserve"> to be extended to NE-DC for </w:t>
      </w:r>
      <w:r w:rsidR="000C423F">
        <w:t xml:space="preserve">all four cases currently covered by the capability (including </w:t>
      </w:r>
      <w:r w:rsidRPr="006D1DCA">
        <w:t>the three intra-band cases</w:t>
      </w:r>
      <w:r w:rsidR="000C423F">
        <w:t>)</w:t>
      </w:r>
      <w:r w:rsidRPr="006D1DCA">
        <w:t xml:space="preserve"> or just for the case of inter-band NE-DC with overlapping bands?</w:t>
      </w:r>
    </w:p>
    <w:p w14:paraId="2A43D817" w14:textId="77777777" w:rsidR="006D1DCA" w:rsidRPr="006D1DCA" w:rsidRDefault="006D1DCA" w:rsidP="006D1DCA">
      <w:pPr>
        <w:pStyle w:val="B1"/>
        <w:numPr>
          <w:ilvl w:val="0"/>
          <w:numId w:val="12"/>
        </w:numPr>
      </w:pPr>
      <w:r w:rsidRPr="006D1DCA">
        <w:t>If the intention is for the capability to be extended to NE-DC in the intra-band cases, will the MTTD/MRTD requirements defined in TS 38.133 clauses 7.5/7.6 be updated to clarify the asynchronous requirements for intra-band NE-DC?</w:t>
      </w:r>
    </w:p>
    <w:p w14:paraId="07C5B0DE" w14:textId="77777777" w:rsidR="006D1DCA" w:rsidRPr="006D1DCA" w:rsidRDefault="006D1DCA" w:rsidP="006D1DCA">
      <w:pPr>
        <w:pStyle w:val="B1"/>
        <w:numPr>
          <w:ilvl w:val="0"/>
          <w:numId w:val="12"/>
        </w:numPr>
      </w:pPr>
      <w:r w:rsidRPr="006D1DCA">
        <w:t>If the intention is for the capability to be extended to NE-DC in the intra-band cases, is that change applicable to legacy releases or only starting in Rel-18?</w:t>
      </w:r>
    </w:p>
    <w:p w14:paraId="461EE534" w14:textId="77777777" w:rsidR="006D1DCA" w:rsidRPr="0066107B" w:rsidRDefault="006D1DCA" w:rsidP="006D1DCA">
      <w:pPr>
        <w:rPr>
          <w:b/>
          <w:bCs/>
        </w:rPr>
      </w:pPr>
      <w:r w:rsidRPr="0066107B">
        <w:rPr>
          <w:b/>
          <w:bCs/>
        </w:rPr>
        <w:t>Proposal 2</w:t>
      </w:r>
      <w:r w:rsidRPr="006D1DCA">
        <w:t>: Send draft LS from the Annex to clarify the questions in Proposal 1.</w:t>
      </w:r>
    </w:p>
    <w:p w14:paraId="2277546F" w14:textId="77777777" w:rsidR="009339CB" w:rsidRPr="006E13D1" w:rsidRDefault="009339CB" w:rsidP="009339CB"/>
    <w:p w14:paraId="56EEE39D" w14:textId="1FD1CC9B" w:rsidR="009339CB" w:rsidRDefault="00D22739" w:rsidP="00D22739">
      <w:pPr>
        <w:pStyle w:val="Heading1"/>
      </w:pPr>
      <w:r>
        <w:lastRenderedPageBreak/>
        <w:t xml:space="preserve">Annex: </w:t>
      </w:r>
      <w:r w:rsidR="006D1DCA">
        <w:t xml:space="preserve">Draft LS to RAN4 on </w:t>
      </w:r>
      <w:r w:rsidR="006D1DCA">
        <w:t>“</w:t>
      </w:r>
      <w:r w:rsidR="006D1DCA" w:rsidRPr="000A432E">
        <w:rPr>
          <w:lang w:val="da-DK"/>
        </w:rPr>
        <w:t>asyncIntraBandENDC</w:t>
      </w:r>
      <w:r w:rsidR="006D1DCA">
        <w:rPr>
          <w:lang w:val="da-DK"/>
        </w:rPr>
        <w:t>”</w:t>
      </w:r>
    </w:p>
    <w:p w14:paraId="45B29FB9" w14:textId="77777777" w:rsidR="00D22739" w:rsidRDefault="00D22739" w:rsidP="00D227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A645C9" w14:textId="77777777" w:rsidR="00D22739" w:rsidRDefault="00D22739" w:rsidP="00D22739">
      <w:pPr>
        <w:pStyle w:val="Header"/>
        <w:widowControl/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cs="Arial"/>
          <w:b w:val="0"/>
          <w:noProof w:val="0"/>
          <w:sz w:val="20"/>
          <w:lang w:val="en-US" w:eastAsia="en-US"/>
        </w:rPr>
      </w:pPr>
      <w:r>
        <w:rPr>
          <w:rFonts w:cs="Arial"/>
          <w:b w:val="0"/>
          <w:noProof w:val="0"/>
          <w:sz w:val="20"/>
          <w:lang w:val="en-US" w:eastAsia="en-US"/>
        </w:rPr>
        <w:t xml:space="preserve">RAN2 thanks RAN4 for the LS on </w:t>
      </w:r>
      <w:bookmarkStart w:id="1" w:name="_Hlk159169965"/>
      <w:r w:rsidRPr="00360752">
        <w:rPr>
          <w:rFonts w:cs="Arial"/>
          <w:b w:val="0"/>
          <w:i/>
          <w:iCs/>
          <w:noProof w:val="0"/>
          <w:sz w:val="20"/>
          <w:lang w:val="en-US" w:eastAsia="en-US"/>
        </w:rPr>
        <w:t>asyncIntraBandENDC</w:t>
      </w:r>
      <w:bookmarkEnd w:id="1"/>
      <w:r>
        <w:rPr>
          <w:rFonts w:cs="Arial"/>
          <w:b w:val="0"/>
          <w:noProof w:val="0"/>
          <w:sz w:val="20"/>
          <w:lang w:val="en-US" w:eastAsia="en-US"/>
        </w:rPr>
        <w:t>. In the LS, RAN4 asked RAN2 to update the capability signalling to cover NE-DC. RAN2 was unable to determine if RAN4 intends for the capability to be applicable to both intra-band asynchronous NE-DC and inter-band asynchronous NE-DC. Therefore, RAN2 would like to clarify:</w:t>
      </w:r>
    </w:p>
    <w:p w14:paraId="35D01819" w14:textId="3D454A60" w:rsidR="00D22739" w:rsidRPr="00C53993" w:rsidRDefault="00D22739" w:rsidP="00D22739">
      <w:pPr>
        <w:pStyle w:val="Header"/>
        <w:numPr>
          <w:ilvl w:val="0"/>
          <w:numId w:val="10"/>
        </w:numPr>
        <w:tabs>
          <w:tab w:val="center" w:pos="4153"/>
          <w:tab w:val="right" w:pos="8306"/>
        </w:tabs>
        <w:spacing w:after="120"/>
        <w:rPr>
          <w:rFonts w:cs="Arial"/>
          <w:b w:val="0"/>
          <w:noProof w:val="0"/>
          <w:sz w:val="20"/>
          <w:lang w:val="en-US" w:eastAsia="en-US"/>
        </w:rPr>
      </w:pPr>
      <w:r w:rsidRPr="00C53993">
        <w:rPr>
          <w:rFonts w:cs="Arial"/>
          <w:b w:val="0"/>
          <w:noProof w:val="0"/>
          <w:sz w:val="20"/>
          <w:lang w:val="en-US" w:eastAsia="en-US"/>
        </w:rPr>
        <w:t xml:space="preserve">Does RAN4 intend for </w:t>
      </w:r>
      <w:r w:rsidRPr="00C53993">
        <w:rPr>
          <w:rFonts w:cs="Arial"/>
          <w:b w:val="0"/>
          <w:i/>
          <w:iCs/>
          <w:noProof w:val="0"/>
          <w:sz w:val="20"/>
          <w:lang w:val="en-US" w:eastAsia="en-US"/>
        </w:rPr>
        <w:t xml:space="preserve">asyncIntraBandENDC </w:t>
      </w:r>
      <w:r w:rsidRPr="00C53993">
        <w:rPr>
          <w:rFonts w:cs="Arial"/>
          <w:b w:val="0"/>
          <w:noProof w:val="0"/>
          <w:sz w:val="20"/>
          <w:lang w:val="en-US" w:eastAsia="en-US"/>
        </w:rPr>
        <w:t xml:space="preserve">to be extended to NE-DC </w:t>
      </w:r>
      <w:r w:rsidR="000C423F" w:rsidRPr="000C423F">
        <w:rPr>
          <w:rFonts w:cs="Arial"/>
          <w:b w:val="0"/>
          <w:noProof w:val="0"/>
          <w:sz w:val="20"/>
          <w:lang w:val="en-US" w:eastAsia="en-US"/>
        </w:rPr>
        <w:t>for all four cases currently covered by the capability (including the three intra-band cases)</w:t>
      </w:r>
      <w:r w:rsidR="000C423F">
        <w:rPr>
          <w:rFonts w:cs="Arial"/>
          <w:b w:val="0"/>
          <w:noProof w:val="0"/>
          <w:sz w:val="20"/>
          <w:lang w:val="en-US" w:eastAsia="en-US"/>
        </w:rPr>
        <w:t xml:space="preserve"> </w:t>
      </w:r>
      <w:r w:rsidRPr="00C53993">
        <w:rPr>
          <w:rFonts w:cs="Arial"/>
          <w:b w:val="0"/>
          <w:noProof w:val="0"/>
          <w:sz w:val="20"/>
          <w:lang w:val="en-US" w:eastAsia="en-US"/>
        </w:rPr>
        <w:t>or just for the case of inter-band NE-DC with overlapping bands?</w:t>
      </w:r>
    </w:p>
    <w:p w14:paraId="0B39361A" w14:textId="77777777" w:rsidR="00D22739" w:rsidRPr="00C53993" w:rsidRDefault="00D22739" w:rsidP="00D22739">
      <w:pPr>
        <w:pStyle w:val="Header"/>
        <w:numPr>
          <w:ilvl w:val="0"/>
          <w:numId w:val="10"/>
        </w:numPr>
        <w:tabs>
          <w:tab w:val="center" w:pos="4153"/>
          <w:tab w:val="right" w:pos="8306"/>
        </w:tabs>
        <w:spacing w:after="120"/>
        <w:rPr>
          <w:rFonts w:cs="Arial"/>
          <w:b w:val="0"/>
          <w:noProof w:val="0"/>
          <w:sz w:val="20"/>
          <w:lang w:val="en-US" w:eastAsia="en-US"/>
        </w:rPr>
      </w:pPr>
      <w:r>
        <w:rPr>
          <w:rFonts w:cs="Arial"/>
          <w:b w:val="0"/>
          <w:noProof w:val="0"/>
          <w:sz w:val="20"/>
          <w:lang w:val="en-US" w:eastAsia="en-US"/>
        </w:rPr>
        <w:t xml:space="preserve">RAN2 </w:t>
      </w:r>
      <w:r w:rsidRPr="00C20F73">
        <w:rPr>
          <w:rFonts w:cs="Arial"/>
          <w:b w:val="0"/>
          <w:noProof w:val="0"/>
          <w:sz w:val="20"/>
          <w:lang w:val="en-US" w:eastAsia="en-US"/>
        </w:rPr>
        <w:t>observes that no asynchronous intra-band NE-DC MTTD/MRTD requirements have been specified in TS 38.133 clause 7.5/7.6. If the intention is for this capability to be extended to NE-DC in the intra-band cases, will the MRTD/MTTD requirements defined in TS 38.133 clauses 7.5/7.6 be updated to clarify the asynchronous requirements for intra-band NE-DC? If these</w:t>
      </w:r>
      <w:r>
        <w:rPr>
          <w:rFonts w:cs="Arial"/>
          <w:b w:val="0"/>
          <w:noProof w:val="0"/>
          <w:sz w:val="20"/>
          <w:lang w:val="en-US" w:eastAsia="en-US"/>
        </w:rPr>
        <w:t xml:space="preserve"> requirements are not defined, a</w:t>
      </w:r>
      <w:r w:rsidRPr="00C20F73">
        <w:rPr>
          <w:rFonts w:cs="Arial"/>
          <w:b w:val="0"/>
          <w:noProof w:val="0"/>
          <w:sz w:val="20"/>
          <w:lang w:val="en-US" w:eastAsia="en-US"/>
        </w:rPr>
        <w:t xml:space="preserve"> network would not know how to interpret which requirements are applicable to the UE signalling this capability for an</w:t>
      </w:r>
      <w:r>
        <w:rPr>
          <w:rFonts w:cs="Arial"/>
          <w:b w:val="0"/>
          <w:noProof w:val="0"/>
          <w:sz w:val="20"/>
          <w:lang w:val="en-US" w:eastAsia="en-US"/>
        </w:rPr>
        <w:t xml:space="preserve"> intra-band</w:t>
      </w:r>
      <w:r w:rsidRPr="00C20F73">
        <w:rPr>
          <w:rFonts w:cs="Arial"/>
          <w:b w:val="0"/>
          <w:noProof w:val="0"/>
          <w:sz w:val="20"/>
          <w:lang w:val="en-US" w:eastAsia="en-US"/>
        </w:rPr>
        <w:t xml:space="preserve"> NE-DC band combination</w:t>
      </w:r>
      <w:r>
        <w:rPr>
          <w:rFonts w:cs="Arial"/>
          <w:b w:val="0"/>
          <w:noProof w:val="0"/>
          <w:sz w:val="20"/>
          <w:lang w:val="en-US" w:eastAsia="en-US"/>
        </w:rPr>
        <w:t>.</w:t>
      </w:r>
    </w:p>
    <w:p w14:paraId="2CDD2DB5" w14:textId="77777777" w:rsidR="00D22739" w:rsidRPr="00027F4B" w:rsidRDefault="00D22739" w:rsidP="00D22739">
      <w:pPr>
        <w:pStyle w:val="Header"/>
        <w:numPr>
          <w:ilvl w:val="0"/>
          <w:numId w:val="10"/>
        </w:numPr>
        <w:tabs>
          <w:tab w:val="center" w:pos="4153"/>
          <w:tab w:val="right" w:pos="8306"/>
        </w:tabs>
        <w:spacing w:after="120"/>
        <w:rPr>
          <w:rFonts w:cs="Arial"/>
          <w:b w:val="0"/>
          <w:noProof w:val="0"/>
          <w:sz w:val="20"/>
          <w:lang w:val="en-US" w:eastAsia="en-US"/>
        </w:rPr>
      </w:pPr>
      <w:r w:rsidRPr="00C53993">
        <w:rPr>
          <w:rFonts w:cs="Arial"/>
          <w:b w:val="0"/>
          <w:noProof w:val="0"/>
          <w:sz w:val="20"/>
          <w:lang w:val="en-US" w:eastAsia="en-US"/>
        </w:rPr>
        <w:t>If the intention is for the capability to be extended to NE-DC in the intra-band cases, is that change applicable to legacy releases or only starting in Rel-18</w:t>
      </w:r>
      <w:r>
        <w:rPr>
          <w:rFonts w:cs="Arial"/>
          <w:b w:val="0"/>
          <w:noProof w:val="0"/>
          <w:sz w:val="20"/>
          <w:lang w:val="en-US" w:eastAsia="en-US"/>
        </w:rPr>
        <w:t>?</w:t>
      </w:r>
    </w:p>
    <w:p w14:paraId="3C2F3D50" w14:textId="77777777" w:rsidR="00D22739" w:rsidRDefault="00D22739" w:rsidP="00D227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50079E" w14:textId="77777777" w:rsidR="00D22739" w:rsidRDefault="00D22739" w:rsidP="00D227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</w:t>
      </w:r>
    </w:p>
    <w:p w14:paraId="48412545" w14:textId="77777777" w:rsidR="00D22739" w:rsidRDefault="00D22739" w:rsidP="00D22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RAN4 to respond to the above questions so that RAN2 can properly update the definition of </w:t>
      </w:r>
      <w:r w:rsidRPr="00CE7CD9">
        <w:rPr>
          <w:rFonts w:ascii="Arial" w:hAnsi="Arial" w:cs="Arial"/>
          <w:i/>
          <w:iCs/>
        </w:rPr>
        <w:t>asyncIntraBandENDC</w:t>
      </w:r>
      <w:r>
        <w:rPr>
          <w:rFonts w:ascii="Arial" w:hAnsi="Arial" w:cs="Arial"/>
        </w:rPr>
        <w:t xml:space="preserve"> in TS 38.306.</w:t>
      </w:r>
    </w:p>
    <w:p w14:paraId="35F222F4" w14:textId="77777777" w:rsidR="00080512" w:rsidRPr="00A209D6" w:rsidRDefault="00080512" w:rsidP="009339CB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A21ED" w14:textId="77777777" w:rsidR="00C22D9C" w:rsidRDefault="00C22D9C">
      <w:r>
        <w:separator/>
      </w:r>
    </w:p>
  </w:endnote>
  <w:endnote w:type="continuationSeparator" w:id="0">
    <w:p w14:paraId="1A2599F5" w14:textId="77777777" w:rsidR="00C22D9C" w:rsidRDefault="00C22D9C">
      <w:r>
        <w:continuationSeparator/>
      </w:r>
    </w:p>
  </w:endnote>
  <w:endnote w:type="continuationNotice" w:id="1">
    <w:p w14:paraId="43A4B3B5" w14:textId="77777777" w:rsidR="00C22D9C" w:rsidRDefault="00C22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F16F" w14:textId="77777777" w:rsidR="00C22D9C" w:rsidRDefault="00C22D9C">
      <w:r>
        <w:separator/>
      </w:r>
    </w:p>
  </w:footnote>
  <w:footnote w:type="continuationSeparator" w:id="0">
    <w:p w14:paraId="5C62068C" w14:textId="77777777" w:rsidR="00C22D9C" w:rsidRDefault="00C22D9C">
      <w:r>
        <w:continuationSeparator/>
      </w:r>
    </w:p>
  </w:footnote>
  <w:footnote w:type="continuationNotice" w:id="1">
    <w:p w14:paraId="5E3CF3F7" w14:textId="77777777" w:rsidR="00C22D9C" w:rsidRDefault="00C22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E671E"/>
    <w:multiLevelType w:val="hybridMultilevel"/>
    <w:tmpl w:val="ABC4F1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006CB2"/>
    <w:multiLevelType w:val="hybridMultilevel"/>
    <w:tmpl w:val="51127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C752E"/>
    <w:multiLevelType w:val="hybridMultilevel"/>
    <w:tmpl w:val="ABC4F1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2E4E56"/>
    <w:multiLevelType w:val="hybridMultilevel"/>
    <w:tmpl w:val="8146FAA2"/>
    <w:lvl w:ilvl="0" w:tplc="BB80D3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F68D6"/>
    <w:multiLevelType w:val="hybridMultilevel"/>
    <w:tmpl w:val="ABC4F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2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7"/>
  </w:num>
  <w:num w:numId="7" w16cid:durableId="1489399165">
    <w:abstractNumId w:val="8"/>
  </w:num>
  <w:num w:numId="8" w16cid:durableId="18691394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41007819">
    <w:abstractNumId w:val="10"/>
  </w:num>
  <w:num w:numId="10" w16cid:durableId="1693916129">
    <w:abstractNumId w:val="5"/>
  </w:num>
  <w:num w:numId="11" w16cid:durableId="1227960358">
    <w:abstractNumId w:val="6"/>
  </w:num>
  <w:num w:numId="12" w16cid:durableId="758256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536C"/>
    <w:rsid w:val="00027F4B"/>
    <w:rsid w:val="00033397"/>
    <w:rsid w:val="00040095"/>
    <w:rsid w:val="00051012"/>
    <w:rsid w:val="000568A3"/>
    <w:rsid w:val="00065268"/>
    <w:rsid w:val="0007353E"/>
    <w:rsid w:val="00073C9C"/>
    <w:rsid w:val="00076412"/>
    <w:rsid w:val="00076A27"/>
    <w:rsid w:val="00077604"/>
    <w:rsid w:val="00080512"/>
    <w:rsid w:val="00090468"/>
    <w:rsid w:val="0009097C"/>
    <w:rsid w:val="00094568"/>
    <w:rsid w:val="000A432E"/>
    <w:rsid w:val="000B700A"/>
    <w:rsid w:val="000B7BCF"/>
    <w:rsid w:val="000C423F"/>
    <w:rsid w:val="000C44F5"/>
    <w:rsid w:val="000C497B"/>
    <w:rsid w:val="000C522B"/>
    <w:rsid w:val="000D5771"/>
    <w:rsid w:val="000D58AB"/>
    <w:rsid w:val="00107887"/>
    <w:rsid w:val="00112F1A"/>
    <w:rsid w:val="00115D49"/>
    <w:rsid w:val="00125032"/>
    <w:rsid w:val="001328C3"/>
    <w:rsid w:val="00145075"/>
    <w:rsid w:val="00160CA7"/>
    <w:rsid w:val="0017144D"/>
    <w:rsid w:val="001741A0"/>
    <w:rsid w:val="00175FA0"/>
    <w:rsid w:val="00176858"/>
    <w:rsid w:val="0018542A"/>
    <w:rsid w:val="0019094C"/>
    <w:rsid w:val="00194CD0"/>
    <w:rsid w:val="001A7ACD"/>
    <w:rsid w:val="001B49C9"/>
    <w:rsid w:val="001C23F4"/>
    <w:rsid w:val="001C4F79"/>
    <w:rsid w:val="001C67CE"/>
    <w:rsid w:val="001E1054"/>
    <w:rsid w:val="001E50DA"/>
    <w:rsid w:val="001F168B"/>
    <w:rsid w:val="001F7831"/>
    <w:rsid w:val="001F7C1E"/>
    <w:rsid w:val="00204045"/>
    <w:rsid w:val="0020712B"/>
    <w:rsid w:val="00222381"/>
    <w:rsid w:val="0022606D"/>
    <w:rsid w:val="00231728"/>
    <w:rsid w:val="00234E2C"/>
    <w:rsid w:val="00244A05"/>
    <w:rsid w:val="00250404"/>
    <w:rsid w:val="002506C0"/>
    <w:rsid w:val="00256B74"/>
    <w:rsid w:val="002610D8"/>
    <w:rsid w:val="00265E5A"/>
    <w:rsid w:val="002747EC"/>
    <w:rsid w:val="002855BF"/>
    <w:rsid w:val="002A2729"/>
    <w:rsid w:val="002B2988"/>
    <w:rsid w:val="002B4300"/>
    <w:rsid w:val="002C3FA8"/>
    <w:rsid w:val="002D0A75"/>
    <w:rsid w:val="002D711B"/>
    <w:rsid w:val="002E2028"/>
    <w:rsid w:val="002E2AF9"/>
    <w:rsid w:val="002F0D22"/>
    <w:rsid w:val="002F2D6A"/>
    <w:rsid w:val="003025A1"/>
    <w:rsid w:val="00311B17"/>
    <w:rsid w:val="003172DC"/>
    <w:rsid w:val="00317BA8"/>
    <w:rsid w:val="00325AE3"/>
    <w:rsid w:val="00326069"/>
    <w:rsid w:val="00331951"/>
    <w:rsid w:val="00344E9B"/>
    <w:rsid w:val="00346C36"/>
    <w:rsid w:val="0035462D"/>
    <w:rsid w:val="0035495B"/>
    <w:rsid w:val="00360752"/>
    <w:rsid w:val="0036459E"/>
    <w:rsid w:val="00364B41"/>
    <w:rsid w:val="0036544A"/>
    <w:rsid w:val="00365C9A"/>
    <w:rsid w:val="003744DA"/>
    <w:rsid w:val="00383096"/>
    <w:rsid w:val="0039187A"/>
    <w:rsid w:val="0039346C"/>
    <w:rsid w:val="003A41EF"/>
    <w:rsid w:val="003B40AD"/>
    <w:rsid w:val="003B4EB0"/>
    <w:rsid w:val="003B54DE"/>
    <w:rsid w:val="003C4E37"/>
    <w:rsid w:val="003D0FD0"/>
    <w:rsid w:val="003D481B"/>
    <w:rsid w:val="003E16BE"/>
    <w:rsid w:val="003E48F5"/>
    <w:rsid w:val="003F4E28"/>
    <w:rsid w:val="004006E8"/>
    <w:rsid w:val="00401855"/>
    <w:rsid w:val="0041450D"/>
    <w:rsid w:val="00431F01"/>
    <w:rsid w:val="00433BC4"/>
    <w:rsid w:val="004343C9"/>
    <w:rsid w:val="00446C3A"/>
    <w:rsid w:val="0045638F"/>
    <w:rsid w:val="00465587"/>
    <w:rsid w:val="00477455"/>
    <w:rsid w:val="004830FA"/>
    <w:rsid w:val="00485F7F"/>
    <w:rsid w:val="004A1F7B"/>
    <w:rsid w:val="004A75F2"/>
    <w:rsid w:val="004C1605"/>
    <w:rsid w:val="004C44D2"/>
    <w:rsid w:val="004D3578"/>
    <w:rsid w:val="004D380D"/>
    <w:rsid w:val="004E213A"/>
    <w:rsid w:val="004E7553"/>
    <w:rsid w:val="004F4540"/>
    <w:rsid w:val="004F73A7"/>
    <w:rsid w:val="00503171"/>
    <w:rsid w:val="00504239"/>
    <w:rsid w:val="00506C28"/>
    <w:rsid w:val="00507116"/>
    <w:rsid w:val="005228C8"/>
    <w:rsid w:val="00522B05"/>
    <w:rsid w:val="00534DA0"/>
    <w:rsid w:val="00537809"/>
    <w:rsid w:val="00543E6C"/>
    <w:rsid w:val="00546F97"/>
    <w:rsid w:val="00554C77"/>
    <w:rsid w:val="00565087"/>
    <w:rsid w:val="0056573F"/>
    <w:rsid w:val="00571279"/>
    <w:rsid w:val="005A13AB"/>
    <w:rsid w:val="005A49C6"/>
    <w:rsid w:val="005B2791"/>
    <w:rsid w:val="005C4FD5"/>
    <w:rsid w:val="005C5140"/>
    <w:rsid w:val="005C766E"/>
    <w:rsid w:val="005C7CD5"/>
    <w:rsid w:val="0060169E"/>
    <w:rsid w:val="006048C1"/>
    <w:rsid w:val="00611566"/>
    <w:rsid w:val="00622398"/>
    <w:rsid w:val="0063533C"/>
    <w:rsid w:val="0064595E"/>
    <w:rsid w:val="00646C79"/>
    <w:rsid w:val="00646D99"/>
    <w:rsid w:val="00656910"/>
    <w:rsid w:val="006574C0"/>
    <w:rsid w:val="00657716"/>
    <w:rsid w:val="00660748"/>
    <w:rsid w:val="0066107B"/>
    <w:rsid w:val="00670F6C"/>
    <w:rsid w:val="00693DBD"/>
    <w:rsid w:val="00695980"/>
    <w:rsid w:val="00696821"/>
    <w:rsid w:val="006A4E98"/>
    <w:rsid w:val="006B1D30"/>
    <w:rsid w:val="006B6FC5"/>
    <w:rsid w:val="006C080D"/>
    <w:rsid w:val="006C66D8"/>
    <w:rsid w:val="006C7009"/>
    <w:rsid w:val="006D1DCA"/>
    <w:rsid w:val="006D1E24"/>
    <w:rsid w:val="006D35DE"/>
    <w:rsid w:val="006E1057"/>
    <w:rsid w:val="006E1417"/>
    <w:rsid w:val="006E7C45"/>
    <w:rsid w:val="006F20AF"/>
    <w:rsid w:val="006F6A2C"/>
    <w:rsid w:val="007069DC"/>
    <w:rsid w:val="00710201"/>
    <w:rsid w:val="007129BC"/>
    <w:rsid w:val="0071686E"/>
    <w:rsid w:val="0072073A"/>
    <w:rsid w:val="007342B5"/>
    <w:rsid w:val="00734A5B"/>
    <w:rsid w:val="00744E76"/>
    <w:rsid w:val="00757D40"/>
    <w:rsid w:val="007662B5"/>
    <w:rsid w:val="00781F0F"/>
    <w:rsid w:val="00784232"/>
    <w:rsid w:val="0078727C"/>
    <w:rsid w:val="0079049D"/>
    <w:rsid w:val="00793DC5"/>
    <w:rsid w:val="00796823"/>
    <w:rsid w:val="007A2E55"/>
    <w:rsid w:val="007B18D8"/>
    <w:rsid w:val="007B52D1"/>
    <w:rsid w:val="007B7612"/>
    <w:rsid w:val="007C095F"/>
    <w:rsid w:val="007C2DD0"/>
    <w:rsid w:val="007D7741"/>
    <w:rsid w:val="007E671D"/>
    <w:rsid w:val="007F2E08"/>
    <w:rsid w:val="008024FA"/>
    <w:rsid w:val="008028A4"/>
    <w:rsid w:val="00813245"/>
    <w:rsid w:val="00817E89"/>
    <w:rsid w:val="00834512"/>
    <w:rsid w:val="00840DE0"/>
    <w:rsid w:val="00847CD0"/>
    <w:rsid w:val="00857BBC"/>
    <w:rsid w:val="00860516"/>
    <w:rsid w:val="008607A8"/>
    <w:rsid w:val="0086354A"/>
    <w:rsid w:val="00870EE5"/>
    <w:rsid w:val="008768CA"/>
    <w:rsid w:val="00877EF9"/>
    <w:rsid w:val="00880559"/>
    <w:rsid w:val="00882CE2"/>
    <w:rsid w:val="00893246"/>
    <w:rsid w:val="008A11D5"/>
    <w:rsid w:val="008B5306"/>
    <w:rsid w:val="008B54E8"/>
    <w:rsid w:val="008C2E2A"/>
    <w:rsid w:val="008C3057"/>
    <w:rsid w:val="008D24A7"/>
    <w:rsid w:val="008D2E4D"/>
    <w:rsid w:val="008E23FD"/>
    <w:rsid w:val="008F3158"/>
    <w:rsid w:val="008F396F"/>
    <w:rsid w:val="008F3DCD"/>
    <w:rsid w:val="0090271F"/>
    <w:rsid w:val="009027D9"/>
    <w:rsid w:val="00902DB9"/>
    <w:rsid w:val="0090466A"/>
    <w:rsid w:val="00904DA2"/>
    <w:rsid w:val="00905E5A"/>
    <w:rsid w:val="0091529E"/>
    <w:rsid w:val="00923655"/>
    <w:rsid w:val="009248C6"/>
    <w:rsid w:val="009267BB"/>
    <w:rsid w:val="009339CB"/>
    <w:rsid w:val="00936071"/>
    <w:rsid w:val="009376CD"/>
    <w:rsid w:val="00940212"/>
    <w:rsid w:val="00942EC2"/>
    <w:rsid w:val="00945EA9"/>
    <w:rsid w:val="00951152"/>
    <w:rsid w:val="00961B32"/>
    <w:rsid w:val="00962509"/>
    <w:rsid w:val="00962C39"/>
    <w:rsid w:val="00970DB3"/>
    <w:rsid w:val="00971F39"/>
    <w:rsid w:val="00974BB0"/>
    <w:rsid w:val="00975BCD"/>
    <w:rsid w:val="009818A2"/>
    <w:rsid w:val="00982107"/>
    <w:rsid w:val="00983E8F"/>
    <w:rsid w:val="00987342"/>
    <w:rsid w:val="00992239"/>
    <w:rsid w:val="009928A9"/>
    <w:rsid w:val="009A0AF3"/>
    <w:rsid w:val="009A7A36"/>
    <w:rsid w:val="009B07CD"/>
    <w:rsid w:val="009C19E9"/>
    <w:rsid w:val="009C6EF8"/>
    <w:rsid w:val="009D74A6"/>
    <w:rsid w:val="009E0E87"/>
    <w:rsid w:val="00A10F02"/>
    <w:rsid w:val="00A17176"/>
    <w:rsid w:val="00A204CA"/>
    <w:rsid w:val="00A209D6"/>
    <w:rsid w:val="00A214F5"/>
    <w:rsid w:val="00A22738"/>
    <w:rsid w:val="00A36F5F"/>
    <w:rsid w:val="00A430EC"/>
    <w:rsid w:val="00A53724"/>
    <w:rsid w:val="00A54B2B"/>
    <w:rsid w:val="00A65D4A"/>
    <w:rsid w:val="00A703B6"/>
    <w:rsid w:val="00A71175"/>
    <w:rsid w:val="00A82346"/>
    <w:rsid w:val="00A9671C"/>
    <w:rsid w:val="00AA1553"/>
    <w:rsid w:val="00AA2AEB"/>
    <w:rsid w:val="00AB7956"/>
    <w:rsid w:val="00AC401D"/>
    <w:rsid w:val="00AD19DE"/>
    <w:rsid w:val="00AD7A47"/>
    <w:rsid w:val="00AD7E7C"/>
    <w:rsid w:val="00B05380"/>
    <w:rsid w:val="00B05962"/>
    <w:rsid w:val="00B15449"/>
    <w:rsid w:val="00B16C2F"/>
    <w:rsid w:val="00B207BE"/>
    <w:rsid w:val="00B27303"/>
    <w:rsid w:val="00B47FD1"/>
    <w:rsid w:val="00B516BB"/>
    <w:rsid w:val="00B66124"/>
    <w:rsid w:val="00B669E9"/>
    <w:rsid w:val="00B7538C"/>
    <w:rsid w:val="00B84DB2"/>
    <w:rsid w:val="00B93E4B"/>
    <w:rsid w:val="00BC3555"/>
    <w:rsid w:val="00BC7497"/>
    <w:rsid w:val="00BD1D42"/>
    <w:rsid w:val="00BD5FDF"/>
    <w:rsid w:val="00BD79AA"/>
    <w:rsid w:val="00BE2B0C"/>
    <w:rsid w:val="00BE7C8B"/>
    <w:rsid w:val="00C00E56"/>
    <w:rsid w:val="00C0367A"/>
    <w:rsid w:val="00C12B51"/>
    <w:rsid w:val="00C167A5"/>
    <w:rsid w:val="00C20F73"/>
    <w:rsid w:val="00C22D9C"/>
    <w:rsid w:val="00C24650"/>
    <w:rsid w:val="00C25465"/>
    <w:rsid w:val="00C31806"/>
    <w:rsid w:val="00C31EA0"/>
    <w:rsid w:val="00C33079"/>
    <w:rsid w:val="00C41100"/>
    <w:rsid w:val="00C51C64"/>
    <w:rsid w:val="00C53993"/>
    <w:rsid w:val="00C55A12"/>
    <w:rsid w:val="00C6553E"/>
    <w:rsid w:val="00C8193F"/>
    <w:rsid w:val="00C83A13"/>
    <w:rsid w:val="00C86F10"/>
    <w:rsid w:val="00C9068C"/>
    <w:rsid w:val="00C92967"/>
    <w:rsid w:val="00C94632"/>
    <w:rsid w:val="00C9474B"/>
    <w:rsid w:val="00CA3D0C"/>
    <w:rsid w:val="00CA654B"/>
    <w:rsid w:val="00CB25A6"/>
    <w:rsid w:val="00CB2FAB"/>
    <w:rsid w:val="00CB6E9A"/>
    <w:rsid w:val="00CB72B8"/>
    <w:rsid w:val="00CB7DC5"/>
    <w:rsid w:val="00CC3120"/>
    <w:rsid w:val="00CD0BA8"/>
    <w:rsid w:val="00CD4C7B"/>
    <w:rsid w:val="00CD51A6"/>
    <w:rsid w:val="00CD58FE"/>
    <w:rsid w:val="00CE7CD9"/>
    <w:rsid w:val="00D001D4"/>
    <w:rsid w:val="00D06ABD"/>
    <w:rsid w:val="00D22739"/>
    <w:rsid w:val="00D33BE3"/>
    <w:rsid w:val="00D3792D"/>
    <w:rsid w:val="00D46545"/>
    <w:rsid w:val="00D46C90"/>
    <w:rsid w:val="00D53602"/>
    <w:rsid w:val="00D54820"/>
    <w:rsid w:val="00D55E47"/>
    <w:rsid w:val="00D62E19"/>
    <w:rsid w:val="00D67CD1"/>
    <w:rsid w:val="00D718FF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345"/>
    <w:rsid w:val="00DF7C20"/>
    <w:rsid w:val="00E038FB"/>
    <w:rsid w:val="00E2333C"/>
    <w:rsid w:val="00E2494E"/>
    <w:rsid w:val="00E24B87"/>
    <w:rsid w:val="00E426DD"/>
    <w:rsid w:val="00E46C08"/>
    <w:rsid w:val="00E471CF"/>
    <w:rsid w:val="00E51681"/>
    <w:rsid w:val="00E51DB2"/>
    <w:rsid w:val="00E62835"/>
    <w:rsid w:val="00E6480E"/>
    <w:rsid w:val="00E751EF"/>
    <w:rsid w:val="00E77645"/>
    <w:rsid w:val="00E83697"/>
    <w:rsid w:val="00E859B6"/>
    <w:rsid w:val="00EA66C9"/>
    <w:rsid w:val="00EB5D32"/>
    <w:rsid w:val="00EC4602"/>
    <w:rsid w:val="00EC4A25"/>
    <w:rsid w:val="00EE2860"/>
    <w:rsid w:val="00EE475F"/>
    <w:rsid w:val="00EF612C"/>
    <w:rsid w:val="00F025A2"/>
    <w:rsid w:val="00F036E9"/>
    <w:rsid w:val="00F07388"/>
    <w:rsid w:val="00F1272C"/>
    <w:rsid w:val="00F17204"/>
    <w:rsid w:val="00F2026E"/>
    <w:rsid w:val="00F2210A"/>
    <w:rsid w:val="00F22EAE"/>
    <w:rsid w:val="00F31372"/>
    <w:rsid w:val="00F37743"/>
    <w:rsid w:val="00F41C26"/>
    <w:rsid w:val="00F42493"/>
    <w:rsid w:val="00F524D0"/>
    <w:rsid w:val="00F54A3D"/>
    <w:rsid w:val="00F54CB0"/>
    <w:rsid w:val="00F579CD"/>
    <w:rsid w:val="00F653B8"/>
    <w:rsid w:val="00F71B89"/>
    <w:rsid w:val="00F7353C"/>
    <w:rsid w:val="00F750AD"/>
    <w:rsid w:val="00F75665"/>
    <w:rsid w:val="00F76F8F"/>
    <w:rsid w:val="00F7761F"/>
    <w:rsid w:val="00F87257"/>
    <w:rsid w:val="00F941DF"/>
    <w:rsid w:val="00F96738"/>
    <w:rsid w:val="00F973FD"/>
    <w:rsid w:val="00F97976"/>
    <w:rsid w:val="00FA1266"/>
    <w:rsid w:val="00FB36FA"/>
    <w:rsid w:val="00FC1192"/>
    <w:rsid w:val="00FD25CF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346C36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qFormat/>
    <w:rsid w:val="006A4E98"/>
    <w:rPr>
      <w:lang w:eastAsia="en-US"/>
    </w:rPr>
  </w:style>
  <w:style w:type="character" w:customStyle="1" w:styleId="TACChar">
    <w:name w:val="TAC Char"/>
    <w:link w:val="TAC"/>
    <w:qFormat/>
    <w:locked/>
    <w:rsid w:val="003D481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D481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D481B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7566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4/Docs/R2-2313262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4/Docs/R2-231174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4/Docs/R2-2311748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4/Docs/R2-2312350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5AIRPNAIUNRU-859666464-15552</_dlc_DocId>
    <_dlc_DocIdUrl xmlns="71c5aaf6-e6ce-465b-b873-5148d2a4c105">
      <Url>https://nokia.sharepoint.com/sites/c5g/e2earch/_layouts/15/DocIdRedir.aspx?ID=5AIRPNAIUNRU-859666464-15552</Url>
      <Description>5AIRPNAIUNRU-859666464-15552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11688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Andrew Lappalainen (Nokia)</cp:lastModifiedBy>
  <cp:revision>304</cp:revision>
  <dcterms:created xsi:type="dcterms:W3CDTF">2016-08-12T13:53:00Z</dcterms:created>
  <dcterms:modified xsi:type="dcterms:W3CDTF">2024-02-18T23:27:00Z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9c2331f0-8321-4ce2-afe1-c30be01c23df</vt:lpwstr>
  </property>
  <property fmtid="{D5CDD505-2E9C-101B-9397-08002B2CF9AE}" pid="4" name="MediaServiceImageTags">
    <vt:lpwstr/>
  </property>
</Properties>
</file>